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9"/>
      <w:bookmarkEnd w:id="0"/>
      <w:r w:rsidRPr="005D47DC">
        <w:rPr>
          <w:rFonts w:ascii="Times New Roman" w:hAnsi="Times New Roman" w:cs="Times New Roman"/>
          <w:sz w:val="24"/>
          <w:szCs w:val="24"/>
        </w:rPr>
        <w:t>ТАБЛИЦА</w:t>
      </w:r>
    </w:p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ПОКАЗАТЕЛЕЙ ПО ОХРАНЕ ТРУДА ПО НОМИНАЦИИ "ЛУЧШИЕ</w:t>
      </w:r>
    </w:p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ОРГАНИЗАЦИЯ, ИНДИВИДУАЛЬНЫЙ ПРЕДПРИНИМАТЕЛЬ В ИРКУТСКОЙ</w:t>
      </w:r>
    </w:p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ОБЛАСТИ ПО ПРОВЕДЕНИЮ РАБОТЫ В СФЕРЕ ОХРАНЫ ТРУДА"</w:t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Раздел I. ОБЩИЕ СВЕДЕНИЯ</w:t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026B" w:rsidRPr="005D47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1. Организация, индивидуальный предприниматель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наименование; фамилия, имя, отчество (при наличии) (для индивидуальных предпринимателей))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2. Место нахождения (место жительства)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 Телефон/факс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4. Организационно-правовая форма (для организаций)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5. Вид экономической деятельности </w:t>
            </w:r>
            <w:hyperlink w:anchor="P466" w:tooltip="&lt;1&gt; В соответствии с подпунктом 1 пункта 11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6. Класс профессионального риска </w:t>
            </w:r>
            <w:hyperlink w:anchor="P467" w:tooltip="&lt;2&gt; В соответствии с Классификацией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7. Ф.И.О. руководителя (полностью), рабочий телефон (для организаций)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8. Ф.И.О. специалиста(</w:t>
            </w:r>
            <w:proofErr w:type="spellStart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) по охране труда (службы охраны труда) (полностью), рабочий телефон, адрес электронной почты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9. Ф.И.О. председателя выборного органа первичной профсоюзной организации (полностью) </w:t>
            </w:r>
            <w:hyperlink w:anchor="P468" w:tooltip="&lt;3&gt; При наличии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, рабочий телефон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10. Регистрационный номер в территориальном органе Фонда пенсионного и социального страхования Российской Федерации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11. Идентификационный номер налогоплательщика (ИНН) ________</w:t>
            </w:r>
          </w:p>
        </w:tc>
      </w:tr>
    </w:tbl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Раздел II. ПОКАЗАТЕЛИ ПО ОХРАНЕ ТРУДА</w:t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387"/>
        <w:gridCol w:w="1441"/>
        <w:gridCol w:w="1442"/>
      </w:tblGrid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прошлого года </w:t>
            </w:r>
            <w:hyperlink w:anchor="P469" w:tooltip="&lt;4&gt; Значения показателей по охране труда, за исключением показателей, определенных в пунктах 2.2, 2.3, округляются до целых чисел по математическим правилам округления. Значение показателя по охране труда, определенного в пункте 2.2, округляется до одного знак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42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текущего года </w:t>
            </w:r>
            <w:hyperlink w:anchor="P469" w:tooltip="&lt;4&gt; Значения показателей по охране труда, за исключением показателей, определенных в пунктах 2.2, 2.3, округляются до целых чисел по математическим правилам округления. Значение показателя по охране труда, определенного в пункте 2.2, округляется до одного знак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D026B" w:rsidRPr="005D47DC">
        <w:tc>
          <w:tcPr>
            <w:tcW w:w="9041" w:type="dxa"/>
            <w:gridSpan w:val="4"/>
            <w:vAlign w:val="center"/>
          </w:tcPr>
          <w:p w:rsidR="003D026B" w:rsidRPr="005D47DC" w:rsidRDefault="00DC50A5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1. Общие сведения об организации, индивидуальном предпринимателе</w:t>
            </w: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Наличие коллективного договора, да (дата утверждения)/нет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проведения специальной оценки условий труда в организации, у индивидуального предпринимателя </w:t>
            </w:r>
            <w:hyperlink w:anchor="P470" w:tooltip="&lt;5&gt; Учитываются материалы специальной оценки условий труда за последние пять лет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рабочих мест, на которых по результатам специальной оценки условий труда установлены вредные и (или) опасные условия труда (3 и 4 класс) </w:t>
            </w:r>
            <w:hyperlink w:anchor="P478" w:tooltip="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Ув), рассчитывается по следующей формуле: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9041" w:type="dxa"/>
            <w:gridSpan w:val="4"/>
            <w:vAlign w:val="center"/>
          </w:tcPr>
          <w:p w:rsidR="003D026B" w:rsidRPr="005D47DC" w:rsidRDefault="00DC50A5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2. Показатели производственного травматизма, профессиональной заболеваемости</w:t>
            </w:r>
          </w:p>
        </w:tc>
      </w:tr>
      <w:tr w:rsidR="005D47DC" w:rsidRPr="005D47DC">
        <w:tc>
          <w:tcPr>
            <w:tcW w:w="771" w:type="dxa"/>
            <w:vMerge w:val="restart"/>
            <w:vAlign w:val="center"/>
          </w:tcPr>
          <w:p w:rsidR="005D47DC" w:rsidRPr="005D47DC" w:rsidRDefault="005D47DC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5D47DC" w:rsidRPr="005D47DC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41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5D47DC">
        <w:tc>
          <w:tcPr>
            <w:tcW w:w="771" w:type="dxa"/>
            <w:vMerge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5D47DC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441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5D47DC" w:rsidTr="005D47DC">
        <w:trPr>
          <w:trHeight w:val="439"/>
        </w:trPr>
        <w:tc>
          <w:tcPr>
            <w:tcW w:w="771" w:type="dxa"/>
            <w:vMerge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5D47DC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в тяжелых несчастных случаях, чел.</w:t>
            </w:r>
          </w:p>
        </w:tc>
        <w:tc>
          <w:tcPr>
            <w:tcW w:w="1441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5D47DC">
        <w:tc>
          <w:tcPr>
            <w:tcW w:w="771" w:type="dxa"/>
            <w:vMerge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5D47DC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в несчастных случаях со смертельным исходом, чел.</w:t>
            </w:r>
          </w:p>
        </w:tc>
        <w:tc>
          <w:tcPr>
            <w:tcW w:w="1441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5D47DC">
        <w:tc>
          <w:tcPr>
            <w:tcW w:w="771" w:type="dxa"/>
            <w:vMerge/>
            <w:vAlign w:val="center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5D47DC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41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5D47DC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78"/>
            <w:bookmarkEnd w:id="1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485" w:tooltip="&lt;7&gt; Коэффициент частоты (Кч) рассчитывается по следующей формуле: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82"/>
            <w:bookmarkEnd w:id="2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Кчсм</w:t>
            </w:r>
            <w:proofErr w:type="spellEnd"/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492" w:tooltip="&lt;8&gt; Коэффициент частоты смертельного травматизма (Кчсм) рассчитывается по следующей формуле: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9041" w:type="dxa"/>
            <w:gridSpan w:val="4"/>
            <w:vAlign w:val="center"/>
          </w:tcPr>
          <w:p w:rsidR="003D026B" w:rsidRPr="005D47DC" w:rsidRDefault="00DC50A5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 Показатели работы по охране труда</w:t>
            </w: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 </w:t>
            </w:r>
            <w:hyperlink w:anchor="P499" w:tooltip="&lt;9&gt; В соответствии с действующими нормами бесплатной выдачи работникам средств индивидуальной защиты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правового акта, регламентирующего систему управления охраной труда в организации, у индивидуального предпринимателя,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правового акта, регламентирующего процедуру оценки профессиональных рисков,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мероприятий по улучшению условий и охраны труда,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Внедрение 3-(2-)ступенчатого контроля по охране труда, да/нет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комитетов (комиссий) по охране труда,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уполномоченных (доверенных) лиц по охране труда выборного органа первичной профсоюзной организации (трудового коллектива),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Удельный вес работников, прошедших обучение по охране труда, % от общей численности работников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(уголка) по охране труда, да/нет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информационных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др.), проводилось (количество)/не проводилось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771" w:type="dxa"/>
            <w:vAlign w:val="center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387" w:type="dxa"/>
          </w:tcPr>
          <w:p w:rsidR="003D026B" w:rsidRPr="005D47DC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Исполнение выданных предписаний органов государственного надзора и контроля (органов общественного контроля) об устранении нарушений трудового законодательства в сфере охраны труда (отсутствие предписаний по итогам проведенных проверок/исполнение выданных предписаний в полном объеме/отсутствие проверок/выданные предписания не выполнены или выполнены частично)</w:t>
            </w:r>
          </w:p>
        </w:tc>
        <w:tc>
          <w:tcPr>
            <w:tcW w:w="1441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3D026B" w:rsidRPr="005D47D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5D47DC" w:rsidRDefault="00DC50A5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(индивидуальный предприниматель)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  <w:tr w:rsidR="003D026B" w:rsidRPr="005D47D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5D47DC" w:rsidRDefault="00DC50A5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5D47DC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5D47D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5D47DC" w:rsidRDefault="00DC50A5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выборного органа первичной профсоюзной организации </w:t>
            </w:r>
            <w:hyperlink w:anchor="P468" w:tooltip="&lt;3&gt; При наличии.">
              <w:r w:rsidRPr="005D4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5D47DC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D026B" w:rsidRPr="005D47DC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C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</w:tbl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6"/>
      <w:bookmarkEnd w:id="3"/>
      <w:r w:rsidRPr="005D47DC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Постановление Правительства Иркутской области от 30.05.2014 N 263-пп (ред. от 16.02.2022) &quot;Об утверждении Положения о конкурсе на лучшую организацию работы по охране труда в Иркутской области&quot; ------------ Недействующая редакция {КонсультантПлюс}">
        <w:r w:rsidRPr="005D47DC">
          <w:rPr>
            <w:rFonts w:ascii="Times New Roman" w:hAnsi="Times New Roman" w:cs="Times New Roman"/>
            <w:color w:val="0000FF"/>
            <w:sz w:val="24"/>
            <w:szCs w:val="24"/>
          </w:rPr>
          <w:t>подпунктом 1 пункта 11</w:t>
        </w:r>
      </w:hyperlink>
      <w:r w:rsidRPr="005D47DC">
        <w:rPr>
          <w:rFonts w:ascii="Times New Roman" w:hAnsi="Times New Roman" w:cs="Times New Roman"/>
          <w:sz w:val="24"/>
          <w:szCs w:val="24"/>
        </w:rPr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7"/>
      <w:bookmarkEnd w:id="4"/>
      <w:r w:rsidRPr="005D47DC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Приказ Минтруда России от 30.12.2016 N 851н (ред. от 16.05.2025) &quot;Об утверждении Классификации видов экономической деятельности по классам профессионального риска&quot; (Зарегистрировано в Минюсте России 18.01.2017 N 45279) {КонсультантПлюс}">
        <w:r w:rsidRPr="005D47DC">
          <w:rPr>
            <w:rFonts w:ascii="Times New Roman" w:hAnsi="Times New Roman" w:cs="Times New Roman"/>
            <w:color w:val="0000FF"/>
            <w:sz w:val="24"/>
            <w:szCs w:val="24"/>
          </w:rPr>
          <w:t>Классификацией</w:t>
        </w:r>
      </w:hyperlink>
      <w:r w:rsidRPr="005D47DC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68"/>
      <w:bookmarkEnd w:id="5"/>
      <w:r w:rsidRPr="005D47DC">
        <w:rPr>
          <w:rFonts w:ascii="Times New Roman" w:hAnsi="Times New Roman" w:cs="Times New Roman"/>
          <w:sz w:val="24"/>
          <w:szCs w:val="24"/>
        </w:rPr>
        <w:t>&lt;3&gt; При наличии.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69"/>
      <w:bookmarkEnd w:id="6"/>
      <w:r w:rsidRPr="005D47DC">
        <w:rPr>
          <w:rFonts w:ascii="Times New Roman" w:hAnsi="Times New Roman" w:cs="Times New Roman"/>
          <w:sz w:val="24"/>
          <w:szCs w:val="24"/>
        </w:rPr>
        <w:t xml:space="preserve">&lt;4&gt; Значения показателей по охране труда, за исключением показателей, определенных в </w:t>
      </w:r>
      <w:hyperlink w:anchor="P378" w:tooltip="2.2.">
        <w:r w:rsidRPr="005D47DC">
          <w:rPr>
            <w:rFonts w:ascii="Times New Roman" w:hAnsi="Times New Roman" w:cs="Times New Roman"/>
            <w:color w:val="0000FF"/>
            <w:sz w:val="24"/>
            <w:szCs w:val="24"/>
          </w:rPr>
          <w:t>пунктах 2.2</w:t>
        </w:r>
      </w:hyperlink>
      <w:r w:rsidRPr="005D47D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82" w:tooltip="2.3.">
        <w:r w:rsidRPr="005D47DC">
          <w:rPr>
            <w:rFonts w:ascii="Times New Roman" w:hAnsi="Times New Roman" w:cs="Times New Roman"/>
            <w:color w:val="0000FF"/>
            <w:sz w:val="24"/>
            <w:szCs w:val="24"/>
          </w:rPr>
          <w:t>2.3</w:t>
        </w:r>
      </w:hyperlink>
      <w:r w:rsidRPr="005D47DC">
        <w:rPr>
          <w:rFonts w:ascii="Times New Roman" w:hAnsi="Times New Roman" w:cs="Times New Roman"/>
          <w:sz w:val="24"/>
          <w:szCs w:val="24"/>
        </w:rP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378" w:tooltip="2.2.">
        <w:r w:rsidRPr="005D47DC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5D47DC">
        <w:rPr>
          <w:rFonts w:ascii="Times New Roman" w:hAnsi="Times New Roman" w:cs="Times New Roman"/>
          <w:sz w:val="24"/>
          <w:szCs w:val="24"/>
        </w:rP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382" w:tooltip="2.3.">
        <w:r w:rsidRPr="005D47DC">
          <w:rPr>
            <w:rFonts w:ascii="Times New Roman" w:hAnsi="Times New Roman" w:cs="Times New Roman"/>
            <w:color w:val="0000FF"/>
            <w:sz w:val="24"/>
            <w:szCs w:val="24"/>
          </w:rPr>
          <w:t>пункте 2.3</w:t>
        </w:r>
      </w:hyperlink>
      <w:r w:rsidRPr="005D47DC">
        <w:rPr>
          <w:rFonts w:ascii="Times New Roman" w:hAnsi="Times New Roman" w:cs="Times New Roman"/>
          <w:sz w:val="24"/>
          <w:szCs w:val="24"/>
        </w:rPr>
        <w:t>, округляется до двух знаков после запятой по математическим правилам округления.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70"/>
      <w:bookmarkEnd w:id="7"/>
      <w:r w:rsidRPr="005D47DC">
        <w:rPr>
          <w:rFonts w:ascii="Times New Roman" w:hAnsi="Times New Roman" w:cs="Times New Roman"/>
          <w:sz w:val="24"/>
          <w:szCs w:val="24"/>
        </w:rPr>
        <w:t>&lt;5&gt; Учитываются материалы специальной оценки условий труда за последние пять лет.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Уровень проведения специальной оценки условий труда в организации, у индивидуального предпринимателя (Ур) рассчитывается по следующей формуле:</w:t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>
            <wp:extent cx="1800225" cy="4095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spellStart"/>
      <w:r w:rsidRPr="005D47DC">
        <w:rPr>
          <w:rFonts w:ascii="Times New Roman" w:hAnsi="Times New Roman" w:cs="Times New Roman"/>
          <w:sz w:val="24"/>
          <w:szCs w:val="24"/>
        </w:rPr>
        <w:t>Рм</w:t>
      </w:r>
      <w:proofErr w:type="spellEnd"/>
      <w:r w:rsidRPr="005D47DC">
        <w:rPr>
          <w:rFonts w:ascii="Times New Roman" w:hAnsi="Times New Roman" w:cs="Times New Roman"/>
          <w:sz w:val="24"/>
          <w:szCs w:val="24"/>
        </w:rPr>
        <w:t xml:space="preserve"> - число рабочих мест, на которых проведена специальная оценка условий труда (с учетом числа рабочих мест,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труда);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Общ. кол. РМ - общее количество рабочих мест в организации (у индивидуального предпринимателя).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78"/>
      <w:bookmarkEnd w:id="8"/>
      <w:r w:rsidRPr="005D47DC">
        <w:rPr>
          <w:rFonts w:ascii="Times New Roman" w:hAnsi="Times New Roman" w:cs="Times New Roman"/>
          <w:sz w:val="24"/>
          <w:szCs w:val="24"/>
        </w:rPr>
        <w:t>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</w:t>
      </w:r>
      <w:proofErr w:type="spellStart"/>
      <w:r w:rsidRPr="005D47DC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5D47DC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>
            <wp:extent cx="2247900" cy="4095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Кол. РМ (3 и 4 класс) - количество рабочих мест с 3 и 4 классом условий труда;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Общ. кол. РМ - общее количество рабочих мест в организации (у индивидуального предпринимателя).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85"/>
      <w:bookmarkEnd w:id="9"/>
      <w:r w:rsidRPr="005D47DC">
        <w:rPr>
          <w:rFonts w:ascii="Times New Roman" w:hAnsi="Times New Roman" w:cs="Times New Roman"/>
          <w:sz w:val="24"/>
          <w:szCs w:val="24"/>
        </w:rPr>
        <w:t>&lt;7&gt; Коэффициент частоты (</w:t>
      </w:r>
      <w:proofErr w:type="spellStart"/>
      <w:r w:rsidRPr="005D47DC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Pr="005D47DC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1028700" cy="4191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7DC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5D47DC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в организации (у индивидуального предпринимателя).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92"/>
      <w:bookmarkEnd w:id="10"/>
      <w:r w:rsidRPr="005D47DC">
        <w:rPr>
          <w:rFonts w:ascii="Times New Roman" w:hAnsi="Times New Roman" w:cs="Times New Roman"/>
          <w:sz w:val="24"/>
          <w:szCs w:val="24"/>
        </w:rPr>
        <w:t>&lt;8&gt; Коэффициент частоты смертельного травматизма (</w:t>
      </w:r>
      <w:proofErr w:type="spellStart"/>
      <w:r w:rsidRPr="005D47DC">
        <w:rPr>
          <w:rFonts w:ascii="Times New Roman" w:hAnsi="Times New Roman" w:cs="Times New Roman"/>
          <w:sz w:val="24"/>
          <w:szCs w:val="24"/>
        </w:rPr>
        <w:t>Кчсм</w:t>
      </w:r>
      <w:proofErr w:type="spellEnd"/>
      <w:r w:rsidRPr="005D47DC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1257300" cy="4191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5D47DC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5D47DC" w:rsidRDefault="00DC50A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7DC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7DC">
        <w:rPr>
          <w:rFonts w:ascii="Times New Roman" w:hAnsi="Times New Roman" w:cs="Times New Roman"/>
          <w:sz w:val="24"/>
          <w:szCs w:val="24"/>
        </w:rPr>
        <w:t>Нсс</w:t>
      </w:r>
      <w:proofErr w:type="spellEnd"/>
      <w:r w:rsidRPr="005D47DC">
        <w:rPr>
          <w:rFonts w:ascii="Times New Roman" w:hAnsi="Times New Roman" w:cs="Times New Roman"/>
          <w:sz w:val="24"/>
          <w:szCs w:val="24"/>
        </w:rPr>
        <w:t xml:space="preserve"> - численность пострадавших со смертельным исходом;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7DC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5D47DC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в организации (у индивидуального предпринимателя).</w:t>
      </w:r>
    </w:p>
    <w:p w:rsidR="003D026B" w:rsidRPr="005D47DC" w:rsidRDefault="00DC50A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99"/>
      <w:bookmarkEnd w:id="11"/>
      <w:r w:rsidRPr="005D47DC">
        <w:rPr>
          <w:rFonts w:ascii="Times New Roman" w:hAnsi="Times New Roman" w:cs="Times New Roman"/>
          <w:sz w:val="24"/>
          <w:szCs w:val="24"/>
        </w:rPr>
        <w:t>&lt;9&gt; В соответствии с действующими нормами бесплатной выдачи работникам средств индивидуальной защиты.</w:t>
      </w:r>
    </w:p>
    <w:p w:rsidR="00DC50A5" w:rsidRPr="005D47DC" w:rsidRDefault="00DC50A5" w:rsidP="005D47DC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500"/>
      <w:bookmarkEnd w:id="12"/>
      <w:r w:rsidRPr="005D47DC">
        <w:rPr>
          <w:rFonts w:ascii="Times New Roman" w:hAnsi="Times New Roman" w:cs="Times New Roman"/>
          <w:sz w:val="24"/>
          <w:szCs w:val="24"/>
        </w:rPr>
        <w:t>&lt;10&gt; К аналитической справке прилагается копия подтверждающего документа (при наличии).</w:t>
      </w:r>
    </w:p>
    <w:sectPr w:rsidR="00DC50A5" w:rsidRPr="005D47DC" w:rsidSect="005D47DC">
      <w:footerReference w:type="default" r:id="rId12"/>
      <w:footerReference w:type="first" r:id="rId13"/>
      <w:pgSz w:w="11906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26B" w:rsidRDefault="003D026B" w:rsidP="003D026B">
      <w:r>
        <w:separator/>
      </w:r>
    </w:p>
  </w:endnote>
  <w:endnote w:type="continuationSeparator" w:id="1">
    <w:p w:rsidR="003D026B" w:rsidRDefault="003D026B" w:rsidP="003D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6B" w:rsidRDefault="00DC50A5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6B" w:rsidRDefault="00DC50A5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26B" w:rsidRDefault="003D026B" w:rsidP="003D026B">
      <w:r>
        <w:separator/>
      </w:r>
    </w:p>
  </w:footnote>
  <w:footnote w:type="continuationSeparator" w:id="1">
    <w:p w:rsidR="003D026B" w:rsidRDefault="003D026B" w:rsidP="003D0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D026B"/>
    <w:rsid w:val="000D3408"/>
    <w:rsid w:val="003D026B"/>
    <w:rsid w:val="005D47DC"/>
    <w:rsid w:val="0080113C"/>
    <w:rsid w:val="00D021B7"/>
    <w:rsid w:val="00DC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D026B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D02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D02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3">
    <w:name w:val="ConsPlusTextList3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1">
    <w:name w:val="ConsPlusNormal1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1">
    <w:name w:val="ConsPlusNonformat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3D026B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1">
    <w:name w:val="ConsPlusCell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1">
    <w:name w:val="ConsPlusTitlePage1"/>
    <w:rsid w:val="003D02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3D02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1">
    <w:name w:val="ConsPlusTextList1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C50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0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50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0A5"/>
  </w:style>
  <w:style w:type="paragraph" w:styleId="a7">
    <w:name w:val="footer"/>
    <w:basedOn w:val="a"/>
    <w:link w:val="a8"/>
    <w:uiPriority w:val="99"/>
    <w:semiHidden/>
    <w:unhideWhenUsed/>
    <w:rsid w:val="00DC5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50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974&amp;dst=10001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88639&amp;dst=100687" TargetMode="External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10569</Characters>
  <Application>Microsoft Office Word</Application>
  <DocSecurity>0</DocSecurity>
  <Lines>88</Lines>
  <Paragraphs>24</Paragraphs>
  <ScaleCrop>false</ScaleCrop>
  <Company>КонсультантПлюс Версия 4025.00.30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30.05.2014 N 263-пп
(ред. от 10.09.2025)
"Об утверждении Положения о конкурсе на лучшую организацию работы по охране труда в Иркутской области"</dc:title>
  <dc:creator>Куршева Анна Викторовна</dc:creator>
  <cp:lastModifiedBy>a.kursheva</cp:lastModifiedBy>
  <cp:revision>2</cp:revision>
  <dcterms:created xsi:type="dcterms:W3CDTF">2026-02-03T07:14:00Z</dcterms:created>
  <dcterms:modified xsi:type="dcterms:W3CDTF">2026-02-03T07:14:00Z</dcterms:modified>
</cp:coreProperties>
</file>