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56" w:rsidRPr="004B6D61" w:rsidRDefault="00BE4D56" w:rsidP="00BE4D56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:rsidR="00BE4D56" w:rsidRPr="00BE4D56" w:rsidRDefault="00BE4D56" w:rsidP="00BE4D5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E4D5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«Центр психологического сопровождения «Росток»</w:t>
      </w:r>
    </w:p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33"/>
        <w:gridCol w:w="567"/>
        <w:gridCol w:w="141"/>
        <w:gridCol w:w="2694"/>
        <w:gridCol w:w="775"/>
        <w:gridCol w:w="2977"/>
        <w:gridCol w:w="3119"/>
      </w:tblGrid>
      <w:tr w:rsidR="004C653A" w:rsidRPr="004C653A" w:rsidTr="00055717">
        <w:trPr>
          <w:trHeight w:val="28"/>
          <w:tblHeader/>
        </w:trPr>
        <w:tc>
          <w:tcPr>
            <w:tcW w:w="771" w:type="dxa"/>
          </w:tcPr>
          <w:p w:rsidR="004C653A" w:rsidRPr="004C653A" w:rsidRDefault="004C653A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10273" w:type="dxa"/>
            <w:gridSpan w:val="6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055717">
        <w:trPr>
          <w:trHeight w:val="28"/>
        </w:trPr>
        <w:tc>
          <w:tcPr>
            <w:tcW w:w="771" w:type="dxa"/>
          </w:tcPr>
          <w:p w:rsidR="004C653A" w:rsidRPr="004C653A" w:rsidRDefault="004C653A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</w:tcPr>
          <w:p w:rsidR="004C653A" w:rsidRPr="004C653A" w:rsidRDefault="004C653A" w:rsidP="000E2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10273" w:type="dxa"/>
            <w:gridSpan w:val="6"/>
          </w:tcPr>
          <w:p w:rsidR="004C653A" w:rsidRPr="004C653A" w:rsidRDefault="000E2CAF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E2CAF">
              <w:rPr>
                <w:rFonts w:ascii="Times New Roman" w:hAnsi="Times New Roman" w:cs="Times New Roman"/>
                <w:sz w:val="24"/>
                <w:szCs w:val="24"/>
              </w:rPr>
              <w:t>Центр психологического сопровождения «Росток»</w:t>
            </w:r>
            <w:bookmarkEnd w:id="0"/>
          </w:p>
        </w:tc>
      </w:tr>
      <w:tr w:rsidR="004C653A" w:rsidRPr="004C653A" w:rsidTr="00055717">
        <w:trPr>
          <w:trHeight w:val="313"/>
        </w:trPr>
        <w:tc>
          <w:tcPr>
            <w:tcW w:w="771" w:type="dxa"/>
          </w:tcPr>
          <w:p w:rsidR="004C653A" w:rsidRPr="004C653A" w:rsidRDefault="004C653A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:rsidR="004C653A" w:rsidRPr="004C653A" w:rsidRDefault="004C653A" w:rsidP="000E2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10273" w:type="dxa"/>
            <w:gridSpan w:val="6"/>
          </w:tcPr>
          <w:p w:rsidR="004C653A" w:rsidRDefault="000E2CAF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F">
              <w:rPr>
                <w:rFonts w:ascii="Times New Roman" w:hAnsi="Times New Roman" w:cs="Times New Roman"/>
                <w:sz w:val="24"/>
                <w:szCs w:val="24"/>
              </w:rPr>
              <w:t>Создание инклюзивной инфраструктуры</w:t>
            </w:r>
            <w:r w:rsidR="00087D9E">
              <w:rPr>
                <w:rFonts w:ascii="Times New Roman" w:hAnsi="Times New Roman" w:cs="Times New Roman"/>
                <w:sz w:val="24"/>
                <w:szCs w:val="24"/>
              </w:rPr>
              <w:t xml:space="preserve"> через развитие  материально –</w:t>
            </w:r>
            <w:r w:rsidR="006C12C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</w:t>
            </w:r>
            <w:r w:rsidR="00087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2C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087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469" w:rsidRPr="007A05B5" w:rsidRDefault="00B94469" w:rsidP="00087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социальной сферы (образование, культура, физическая культура и спорт, молодежная политика).</w:t>
            </w:r>
          </w:p>
          <w:p w:rsidR="00B94469" w:rsidRPr="004C653A" w:rsidRDefault="00B94469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4C653A" w:rsidTr="00055717">
        <w:trPr>
          <w:trHeight w:val="976"/>
        </w:trPr>
        <w:tc>
          <w:tcPr>
            <w:tcW w:w="771" w:type="dxa"/>
          </w:tcPr>
          <w:p w:rsidR="004C653A" w:rsidRPr="004C653A" w:rsidRDefault="004C653A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</w:tcPr>
          <w:p w:rsidR="004C653A" w:rsidRPr="004C653A" w:rsidRDefault="004C653A" w:rsidP="000E2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10273" w:type="dxa"/>
            <w:gridSpan w:val="6"/>
          </w:tcPr>
          <w:p w:rsidR="000E2CAF" w:rsidRPr="00BD5B9D" w:rsidRDefault="000E2CAF" w:rsidP="000E2CAF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D5B9D">
              <w:rPr>
                <w:rFonts w:ascii="Times New Roman" w:hAnsi="Times New Roman"/>
                <w:sz w:val="24"/>
                <w:szCs w:val="26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:rsidR="004C653A" w:rsidRPr="000E2CAF" w:rsidRDefault="000E2CAF" w:rsidP="000E2CA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B9D">
              <w:rPr>
                <w:rFonts w:ascii="Times New Roman" w:hAnsi="Times New Roman"/>
                <w:sz w:val="24"/>
                <w:szCs w:val="26"/>
              </w:rPr>
              <w:t>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</w:tc>
      </w:tr>
      <w:tr w:rsidR="004C653A" w:rsidRPr="009F5435" w:rsidTr="00055717">
        <w:trPr>
          <w:trHeight w:val="507"/>
        </w:trPr>
        <w:tc>
          <w:tcPr>
            <w:tcW w:w="771" w:type="dxa"/>
          </w:tcPr>
          <w:p w:rsidR="004C653A" w:rsidRPr="009F5435" w:rsidRDefault="004C653A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0273" w:type="dxa"/>
            <w:gridSpan w:val="6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055717">
        <w:tc>
          <w:tcPr>
            <w:tcW w:w="771" w:type="dxa"/>
          </w:tcPr>
          <w:p w:rsidR="004C653A" w:rsidRPr="009F5435" w:rsidRDefault="004C653A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</w:tcPr>
          <w:p w:rsidR="004C653A" w:rsidRPr="009F5435" w:rsidRDefault="004C653A" w:rsidP="00476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0273" w:type="dxa"/>
            <w:gridSpan w:val="6"/>
          </w:tcPr>
          <w:p w:rsidR="004C653A" w:rsidRPr="009F5435" w:rsidRDefault="000E2CAF" w:rsidP="000557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Инициативная группа </w:t>
            </w:r>
            <w:r w:rsidR="006C12C5" w:rsidRPr="006C12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11 </w:t>
            </w:r>
            <w:r w:rsidR="006C12C5"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  <w:r w:rsidRPr="000E2CAF">
              <w:rPr>
                <w:rFonts w:ascii="Times New Roman" w:hAnsi="Times New Roman" w:cs="Times New Roman"/>
                <w:sz w:val="24"/>
                <w:szCs w:val="24"/>
              </w:rPr>
              <w:t xml:space="preserve"> Щербакова Наталья Анатольевна, Кузьмина Марина Витальевна, Фильшина Юлия Александровна, </w:t>
            </w:r>
            <w:proofErr w:type="spellStart"/>
            <w:r w:rsidRPr="000E2CAF">
              <w:rPr>
                <w:rFonts w:ascii="Times New Roman" w:hAnsi="Times New Roman" w:cs="Times New Roman"/>
                <w:sz w:val="24"/>
                <w:szCs w:val="24"/>
              </w:rPr>
              <w:t>Леерова</w:t>
            </w:r>
            <w:proofErr w:type="spellEnd"/>
            <w:r w:rsidRPr="000E2CAF">
              <w:rPr>
                <w:rFonts w:ascii="Times New Roman" w:hAnsi="Times New Roman" w:cs="Times New Roman"/>
                <w:sz w:val="24"/>
                <w:szCs w:val="24"/>
              </w:rPr>
              <w:t xml:space="preserve"> Алена Владимировна, Фролова Зоя Ильинична, Липатова Ольга Николаевна, Маликова Наталья Васильевна, Петрова Галина Анатольевна, Дятлова Елена Алексеевна, Котенкова Виктор</w:t>
            </w:r>
            <w:r w:rsidR="00B06859">
              <w:rPr>
                <w:rFonts w:ascii="Times New Roman" w:hAnsi="Times New Roman" w:cs="Times New Roman"/>
                <w:sz w:val="24"/>
                <w:szCs w:val="24"/>
              </w:rPr>
              <w:t>ия Владимировна, Титкова Елена В</w:t>
            </w:r>
            <w:r w:rsidRPr="000E2CAF">
              <w:rPr>
                <w:rFonts w:ascii="Times New Roman" w:hAnsi="Times New Roman" w:cs="Times New Roman"/>
                <w:sz w:val="24"/>
                <w:szCs w:val="24"/>
              </w:rPr>
              <w:t>ладимировна.</w:t>
            </w:r>
          </w:p>
        </w:tc>
      </w:tr>
      <w:tr w:rsidR="004C653A" w:rsidRPr="009F5435" w:rsidTr="00055717">
        <w:tc>
          <w:tcPr>
            <w:tcW w:w="771" w:type="dxa"/>
          </w:tcPr>
          <w:p w:rsidR="004C653A" w:rsidRPr="009F5435" w:rsidRDefault="004C653A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орган территориального общественного самоуправления, с указанием его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наименования</w:t>
            </w:r>
          </w:p>
        </w:tc>
        <w:tc>
          <w:tcPr>
            <w:tcW w:w="10273" w:type="dxa"/>
            <w:gridSpan w:val="6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055717">
        <w:tc>
          <w:tcPr>
            <w:tcW w:w="771" w:type="dxa"/>
          </w:tcPr>
          <w:p w:rsidR="004C653A" w:rsidRPr="009F5435" w:rsidRDefault="004C653A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10273" w:type="dxa"/>
            <w:gridSpan w:val="6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055717">
        <w:tc>
          <w:tcPr>
            <w:tcW w:w="771" w:type="dxa"/>
          </w:tcPr>
          <w:p w:rsidR="004C653A" w:rsidRPr="009F5435" w:rsidRDefault="004C653A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</w:t>
            </w:r>
            <w:proofErr w:type="gram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выступить</w:t>
            </w:r>
            <w:proofErr w:type="gram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инициаторами проекта</w:t>
            </w:r>
          </w:p>
        </w:tc>
        <w:tc>
          <w:tcPr>
            <w:tcW w:w="10273" w:type="dxa"/>
            <w:gridSpan w:val="6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055717">
        <w:tc>
          <w:tcPr>
            <w:tcW w:w="771" w:type="dxa"/>
          </w:tcPr>
          <w:p w:rsidR="004C653A" w:rsidRPr="009F5435" w:rsidRDefault="004C653A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</w:tcPr>
          <w:p w:rsidR="004C653A" w:rsidRPr="009F5435" w:rsidRDefault="004C653A" w:rsidP="00476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10273" w:type="dxa"/>
            <w:gridSpan w:val="6"/>
          </w:tcPr>
          <w:p w:rsidR="004767EA" w:rsidRPr="004767EA" w:rsidRDefault="00353983" w:rsidP="00476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67EA" w:rsidRPr="004767E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детей с ограниченными возможностями здоровья и развития относится к числу актуальных проблем, возникающих перед образовательными организациями. </w:t>
            </w:r>
          </w:p>
          <w:p w:rsidR="004767EA" w:rsidRPr="004767EA" w:rsidRDefault="004767EA" w:rsidP="00476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A">
              <w:rPr>
                <w:rFonts w:ascii="Times New Roman" w:hAnsi="Times New Roman" w:cs="Times New Roman"/>
                <w:sz w:val="24"/>
                <w:szCs w:val="24"/>
              </w:rPr>
              <w:t xml:space="preserve">   В учреждении функционируют четыре группы компенсирующей направленности для детей с ОВЗ (ТНР, ЗПР, УО) специфика работы которых заключается в коррекции речевого развития. На данный момент в учреждении актуализируется создание необходимых условий для психологического сопровождения детей, нуждающиеся в специальном обучении и воспитании. Прогнозируется охват детей с ОВЗ не только микрорайона, но и города. По результатам анализа данных детской поликлиники имеется значительное количество детей, нуждающихся в специальных условиях обучения и воспитания, но без финансовой поддержки данное направление не имеет пер</w:t>
            </w:r>
            <w:r w:rsidR="00DD5370">
              <w:rPr>
                <w:rFonts w:ascii="Times New Roman" w:hAnsi="Times New Roman" w:cs="Times New Roman"/>
                <w:sz w:val="24"/>
                <w:szCs w:val="24"/>
              </w:rPr>
              <w:t>спективы на развитие. Создание Ц</w:t>
            </w:r>
            <w:r w:rsidRPr="004767EA">
              <w:rPr>
                <w:rFonts w:ascii="Times New Roman" w:hAnsi="Times New Roman" w:cs="Times New Roman"/>
                <w:sz w:val="24"/>
                <w:szCs w:val="24"/>
              </w:rPr>
              <w:t>ентра психологического сопровождения для детей с ОВЗ (ЗПР, УО) в дошкольном образовательном учреждении обусловлено проблемами:</w:t>
            </w:r>
          </w:p>
          <w:p w:rsidR="004767EA" w:rsidRPr="004767EA" w:rsidRDefault="004767EA" w:rsidP="00476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A"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недостаточность кадрового обеспечения (учитель-дефектолог, учитель-логопед, </w:t>
            </w:r>
            <w:proofErr w:type="spellStart"/>
            <w:r w:rsidRPr="004767EA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4767E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767EA" w:rsidRPr="004767EA" w:rsidRDefault="004767EA" w:rsidP="00476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отсут</w:t>
            </w:r>
            <w:r w:rsidR="00DD5370">
              <w:rPr>
                <w:rFonts w:ascii="Times New Roman" w:hAnsi="Times New Roman" w:cs="Times New Roman"/>
                <w:sz w:val="24"/>
                <w:szCs w:val="24"/>
              </w:rPr>
              <w:t>ствие материально-технического обеспечения</w:t>
            </w:r>
            <w:r w:rsidRPr="004767EA">
              <w:rPr>
                <w:rFonts w:ascii="Times New Roman" w:hAnsi="Times New Roman" w:cs="Times New Roman"/>
                <w:sz w:val="24"/>
                <w:szCs w:val="24"/>
              </w:rPr>
              <w:t>, оснащенности материалами и оборудованием для коррекционной работы с детьми по их развитию, воспитанию, социальной адаптации.</w:t>
            </w:r>
          </w:p>
          <w:p w:rsidR="004C653A" w:rsidRPr="009F5435" w:rsidRDefault="004767EA" w:rsidP="00476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A">
              <w:rPr>
                <w:rFonts w:ascii="Times New Roman" w:hAnsi="Times New Roman" w:cs="Times New Roman"/>
                <w:sz w:val="24"/>
                <w:szCs w:val="24"/>
              </w:rPr>
              <w:t xml:space="preserve">   Актуальность инициативы выражена в том, что дошкольные образовательные учреждения города сталкиваются с проблемой увеличения количества детей с ОВЗ, нуждающихся в специальных </w:t>
            </w:r>
            <w:r w:rsidR="00DD5370">
              <w:rPr>
                <w:rFonts w:ascii="Times New Roman" w:hAnsi="Times New Roman" w:cs="Times New Roman"/>
                <w:sz w:val="24"/>
                <w:szCs w:val="24"/>
              </w:rPr>
              <w:t>условиях получения дошкольного,</w:t>
            </w:r>
            <w:r w:rsidRPr="004767E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и отсутствии  оказания им специализированной помощи. За последние пять лет растет интерес и потребность родителей в необходимости оказания специализированной помощи.</w:t>
            </w:r>
          </w:p>
        </w:tc>
      </w:tr>
      <w:tr w:rsidR="004C653A" w:rsidRPr="009F5435" w:rsidTr="00055717">
        <w:tc>
          <w:tcPr>
            <w:tcW w:w="771" w:type="dxa"/>
          </w:tcPr>
          <w:p w:rsidR="004C653A" w:rsidRPr="009F5435" w:rsidRDefault="004C653A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33" w:type="dxa"/>
          </w:tcPr>
          <w:p w:rsidR="004C653A" w:rsidRPr="009F5435" w:rsidRDefault="004C653A" w:rsidP="00476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10273" w:type="dxa"/>
            <w:gridSpan w:val="6"/>
          </w:tcPr>
          <w:p w:rsidR="004767EA" w:rsidRPr="004767EA" w:rsidRDefault="004767EA" w:rsidP="00476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A">
              <w:rPr>
                <w:rFonts w:ascii="Times New Roman" w:hAnsi="Times New Roman" w:cs="Times New Roman"/>
                <w:sz w:val="24"/>
                <w:szCs w:val="24"/>
              </w:rPr>
              <w:t>Инициативный проект «Центр психологического сопровождения «Росток» направлен на создание современной развивающей предметно-прост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7EA">
              <w:rPr>
                <w:rFonts w:ascii="Times New Roman" w:hAnsi="Times New Roman" w:cs="Times New Roman"/>
                <w:sz w:val="24"/>
                <w:szCs w:val="24"/>
              </w:rPr>
              <w:t>анственной среды, позволяющей обеспечить психологический комфорт для физического, психического, социального, духовно-нра</w:t>
            </w:r>
            <w:r w:rsidR="00DD5370">
              <w:rPr>
                <w:rFonts w:ascii="Times New Roman" w:hAnsi="Times New Roman" w:cs="Times New Roman"/>
                <w:sz w:val="24"/>
                <w:szCs w:val="24"/>
              </w:rPr>
              <w:t xml:space="preserve">вственного развития детей с ОВЗ. </w:t>
            </w:r>
            <w:r w:rsidRPr="004767EA">
              <w:rPr>
                <w:rFonts w:ascii="Times New Roman" w:hAnsi="Times New Roman" w:cs="Times New Roman"/>
                <w:sz w:val="24"/>
                <w:szCs w:val="24"/>
              </w:rPr>
              <w:t>Центр психологического сопровождения создается на базе муниципального бюджетного дошкольного образовательного учреждения города Тулуна «Центр развития ребенка – детский сад «Гармония» в специально выделенном помещении, расположенном на втором этаже и состоящим из двух комнат. В каждой комнате будут организованы пространственные секторы, обеспечивающие получение специального образования и реализующие психологическое сопровождение.</w:t>
            </w:r>
          </w:p>
          <w:p w:rsidR="004767EA" w:rsidRPr="004767EA" w:rsidRDefault="004767EA" w:rsidP="00476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A">
              <w:rPr>
                <w:rFonts w:ascii="Times New Roman" w:hAnsi="Times New Roman" w:cs="Times New Roman"/>
                <w:sz w:val="24"/>
                <w:szCs w:val="24"/>
              </w:rPr>
              <w:t>Образовательный сектор – это комплекс обучающих, развивающих игр и пособий, способствующих решению задач по улучшению когнитивного функционирования детей (улучшение зрительного и слухового внимания, работа с концентрацией, объемом, распределением внимания, тренировка памяти, улучшение логического мышления). Сектор содержит:</w:t>
            </w:r>
          </w:p>
          <w:p w:rsidR="004767EA" w:rsidRPr="004767EA" w:rsidRDefault="004767EA" w:rsidP="00476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A">
              <w:rPr>
                <w:rFonts w:ascii="Times New Roman" w:hAnsi="Times New Roman" w:cs="Times New Roman"/>
                <w:sz w:val="24"/>
                <w:szCs w:val="24"/>
              </w:rPr>
              <w:t>- игрушки и демо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67EA">
              <w:rPr>
                <w:rFonts w:ascii="Times New Roman" w:hAnsi="Times New Roman" w:cs="Times New Roman"/>
                <w:sz w:val="24"/>
                <w:szCs w:val="24"/>
              </w:rPr>
              <w:t>страционный материал:</w:t>
            </w:r>
          </w:p>
          <w:p w:rsidR="004767EA" w:rsidRPr="004767EA" w:rsidRDefault="004767EA" w:rsidP="00476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A">
              <w:rPr>
                <w:rFonts w:ascii="Times New Roman" w:hAnsi="Times New Roman" w:cs="Times New Roman"/>
                <w:sz w:val="24"/>
                <w:szCs w:val="24"/>
              </w:rPr>
              <w:t>- игровые элементы и оборудование (магнитная доска для рисования, развивающий набор «Приоритет», наглядные дидактические пособия, интерактивная песочница и стол).</w:t>
            </w:r>
          </w:p>
          <w:p w:rsidR="004767EA" w:rsidRPr="004767EA" w:rsidRDefault="004767EA" w:rsidP="00476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A">
              <w:rPr>
                <w:rFonts w:ascii="Times New Roman" w:hAnsi="Times New Roman" w:cs="Times New Roman"/>
                <w:sz w:val="24"/>
                <w:szCs w:val="24"/>
              </w:rPr>
              <w:t>Сенсорный сектор – это специально созданное пространство, оснащенное оборудованием для сенсорного развития (восприятия, представлений об объектах, явлениях и предметах окружающего мира). Сектор содержит:</w:t>
            </w:r>
          </w:p>
          <w:p w:rsidR="004767EA" w:rsidRPr="004767EA" w:rsidRDefault="004767EA" w:rsidP="00476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A">
              <w:rPr>
                <w:rFonts w:ascii="Times New Roman" w:hAnsi="Times New Roman" w:cs="Times New Roman"/>
                <w:sz w:val="24"/>
                <w:szCs w:val="24"/>
              </w:rPr>
              <w:t>- мебель (мягкая модульная мебель, кресла-мешки, стеллажи для игрушек);</w:t>
            </w:r>
          </w:p>
          <w:p w:rsidR="004767EA" w:rsidRPr="004767EA" w:rsidRDefault="004767EA" w:rsidP="00476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A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элементы и оборудование (наборы фигурок по лексическим темам, наборы конструкторов для мальчиков и девочек, игровые пособия, сенсорная тропа, тактильная настенная </w:t>
            </w:r>
            <w:r w:rsidRPr="00476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панель (</w:t>
            </w:r>
            <w:proofErr w:type="spellStart"/>
            <w:r w:rsidRPr="004767EA">
              <w:rPr>
                <w:rFonts w:ascii="Times New Roman" w:hAnsi="Times New Roman" w:cs="Times New Roman"/>
                <w:sz w:val="24"/>
                <w:szCs w:val="24"/>
              </w:rPr>
              <w:t>бизиборды</w:t>
            </w:r>
            <w:proofErr w:type="spellEnd"/>
            <w:r w:rsidRPr="004767E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767EA">
              <w:rPr>
                <w:rFonts w:ascii="Times New Roman" w:hAnsi="Times New Roman" w:cs="Times New Roman"/>
                <w:sz w:val="24"/>
                <w:szCs w:val="24"/>
              </w:rPr>
              <w:t>фитнес-мячи</w:t>
            </w:r>
            <w:proofErr w:type="spellEnd"/>
            <w:r w:rsidRPr="004767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67EA" w:rsidRPr="004767EA" w:rsidRDefault="004767EA" w:rsidP="00476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A">
              <w:rPr>
                <w:rFonts w:ascii="Times New Roman" w:hAnsi="Times New Roman" w:cs="Times New Roman"/>
                <w:sz w:val="24"/>
                <w:szCs w:val="24"/>
              </w:rPr>
              <w:t>Релаксационный сектор – это особая среда, в которой создана комфортная атмосфера для формирования и повышения тактильной чувствительности, достижения положительных эмоций, восстановление работы вестибулярного аппарата.  Это комплекс развлекательных и развивающих игр, обеспечивающих всестороннее развитие детей с ОВЗ. Сектор содержит:</w:t>
            </w:r>
          </w:p>
          <w:p w:rsidR="004C653A" w:rsidRPr="009F5435" w:rsidRDefault="004767EA" w:rsidP="00476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A">
              <w:rPr>
                <w:rFonts w:ascii="Times New Roman" w:hAnsi="Times New Roman" w:cs="Times New Roman"/>
                <w:sz w:val="24"/>
                <w:szCs w:val="24"/>
              </w:rPr>
              <w:t xml:space="preserve">- сенсорный уголок с тремя пузырьковыми колоннами, тоннель «Звездное небо», </w:t>
            </w:r>
            <w:proofErr w:type="spellStart"/>
            <w:r w:rsidRPr="004767EA">
              <w:rPr>
                <w:rFonts w:ascii="Times New Roman" w:hAnsi="Times New Roman" w:cs="Times New Roman"/>
                <w:sz w:val="24"/>
                <w:szCs w:val="24"/>
              </w:rPr>
              <w:t>фибертропический</w:t>
            </w:r>
            <w:proofErr w:type="spellEnd"/>
            <w:r w:rsidRPr="004767EA">
              <w:rPr>
                <w:rFonts w:ascii="Times New Roman" w:hAnsi="Times New Roman" w:cs="Times New Roman"/>
                <w:sz w:val="24"/>
                <w:szCs w:val="24"/>
              </w:rPr>
              <w:t xml:space="preserve"> душ «Световой дождь», ковровое покрытие, </w:t>
            </w:r>
            <w:proofErr w:type="spellStart"/>
            <w:r w:rsidRPr="004767EA">
              <w:rPr>
                <w:rFonts w:ascii="Times New Roman" w:hAnsi="Times New Roman" w:cs="Times New Roman"/>
                <w:sz w:val="24"/>
                <w:szCs w:val="24"/>
              </w:rPr>
              <w:t>кресло-трансформер</w:t>
            </w:r>
            <w:proofErr w:type="spellEnd"/>
            <w:r w:rsidRPr="004767EA">
              <w:rPr>
                <w:rFonts w:ascii="Times New Roman" w:hAnsi="Times New Roman" w:cs="Times New Roman"/>
                <w:sz w:val="24"/>
                <w:szCs w:val="24"/>
              </w:rPr>
              <w:t xml:space="preserve"> для релаксации, массажные кочки (полусферы), набор масленых ароматических добавок, воздухоочиститель).</w:t>
            </w:r>
          </w:p>
        </w:tc>
      </w:tr>
      <w:tr w:rsidR="004C653A" w:rsidRPr="009F5435" w:rsidTr="00055717">
        <w:tc>
          <w:tcPr>
            <w:tcW w:w="771" w:type="dxa"/>
          </w:tcPr>
          <w:p w:rsidR="004C653A" w:rsidRPr="009F5435" w:rsidRDefault="004C653A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10273" w:type="dxa"/>
            <w:gridSpan w:val="6"/>
            <w:vAlign w:val="center"/>
          </w:tcPr>
          <w:p w:rsidR="00725714" w:rsidRDefault="00725714" w:rsidP="00725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оборудование и оргтехника – 1 428 500,0</w:t>
            </w:r>
          </w:p>
          <w:p w:rsidR="00725714" w:rsidRDefault="00725714" w:rsidP="00725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развивающее, светодиодное и дидактическое оборудование – 380 500,0</w:t>
            </w:r>
          </w:p>
          <w:p w:rsidR="00725714" w:rsidRDefault="00725714" w:rsidP="00725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– 191 000,0</w:t>
            </w:r>
          </w:p>
          <w:p w:rsidR="004C653A" w:rsidRPr="009F5435" w:rsidRDefault="00725714" w:rsidP="00725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 </w:t>
            </w:r>
            <w:r w:rsidR="004767EA" w:rsidRPr="00476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0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767EA" w:rsidRPr="004767E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20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767EA" w:rsidRPr="004767E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202D1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  <w:tr w:rsidR="004C653A" w:rsidRPr="009F5435" w:rsidTr="00055717">
        <w:tc>
          <w:tcPr>
            <w:tcW w:w="771" w:type="dxa"/>
          </w:tcPr>
          <w:p w:rsidR="004C653A" w:rsidRPr="009F5435" w:rsidRDefault="004C653A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</w:tcPr>
          <w:p w:rsidR="004C653A" w:rsidRPr="009F5435" w:rsidRDefault="004C653A" w:rsidP="00476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10273" w:type="dxa"/>
            <w:gridSpan w:val="6"/>
            <w:vAlign w:val="center"/>
          </w:tcPr>
          <w:p w:rsidR="004767EA" w:rsidRPr="00311388" w:rsidRDefault="00311388" w:rsidP="004767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– 20</w:t>
            </w:r>
            <w:r w:rsidR="004767EA" w:rsidRPr="004767E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BE4D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767EA" w:rsidRPr="00476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7EA" w:rsidRPr="00311388" w:rsidRDefault="004767EA" w:rsidP="004767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38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11388" w:rsidRPr="00311388">
              <w:rPr>
                <w:rFonts w:ascii="Times New Roman" w:hAnsi="Times New Roman" w:cs="Times New Roman"/>
                <w:sz w:val="24"/>
                <w:szCs w:val="24"/>
              </w:rPr>
              <w:t>ники дошкольного учреждения –80</w:t>
            </w:r>
            <w:r w:rsidRPr="00311388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4767EA" w:rsidRPr="00311388" w:rsidRDefault="004767EA" w:rsidP="004767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388">
              <w:rPr>
                <w:rFonts w:ascii="Times New Roman" w:hAnsi="Times New Roman" w:cs="Times New Roman"/>
                <w:sz w:val="24"/>
                <w:szCs w:val="24"/>
              </w:rPr>
              <w:t>Родители – 100000;</w:t>
            </w:r>
          </w:p>
          <w:p w:rsidR="004C653A" w:rsidRPr="009F5435" w:rsidRDefault="004767EA" w:rsidP="004767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388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предприятия и о</w:t>
            </w:r>
            <w:r w:rsidR="00311388" w:rsidRPr="00311388">
              <w:rPr>
                <w:rFonts w:ascii="Times New Roman" w:hAnsi="Times New Roman" w:cs="Times New Roman"/>
                <w:sz w:val="24"/>
                <w:szCs w:val="24"/>
              </w:rPr>
              <w:t>рганизации, физические лица – 20</w:t>
            </w:r>
            <w:r w:rsidRPr="0031138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653A" w:rsidRPr="009F5435" w:rsidTr="00055717">
        <w:tc>
          <w:tcPr>
            <w:tcW w:w="771" w:type="dxa"/>
          </w:tcPr>
          <w:p w:rsidR="004C653A" w:rsidRPr="009F5435" w:rsidRDefault="004C653A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10273" w:type="dxa"/>
            <w:gridSpan w:val="6"/>
            <w:vAlign w:val="center"/>
          </w:tcPr>
          <w:p w:rsidR="004C653A" w:rsidRPr="009F5435" w:rsidRDefault="004767EA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A">
              <w:rPr>
                <w:rFonts w:ascii="Times New Roman" w:hAnsi="Times New Roman" w:cs="Times New Roman"/>
                <w:sz w:val="24"/>
                <w:szCs w:val="24"/>
              </w:rPr>
              <w:t>с 01.01.2025 по 30.12.2025</w:t>
            </w:r>
          </w:p>
        </w:tc>
      </w:tr>
      <w:tr w:rsidR="004C653A" w:rsidRPr="009F5435" w:rsidTr="00055717">
        <w:trPr>
          <w:trHeight w:val="513"/>
        </w:trPr>
        <w:tc>
          <w:tcPr>
            <w:tcW w:w="771" w:type="dxa"/>
          </w:tcPr>
          <w:p w:rsidR="004C653A" w:rsidRPr="009F5435" w:rsidRDefault="004C653A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10273" w:type="dxa"/>
            <w:gridSpan w:val="6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A18E6" w:rsidRPr="009F5435" w:rsidTr="00055717">
        <w:trPr>
          <w:trHeight w:val="351"/>
        </w:trPr>
        <w:tc>
          <w:tcPr>
            <w:tcW w:w="771" w:type="dxa"/>
            <w:vMerge w:val="restart"/>
          </w:tcPr>
          <w:p w:rsidR="005A18E6" w:rsidRPr="009F5435" w:rsidRDefault="005A18E6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5A18E6" w:rsidRPr="009F5435" w:rsidRDefault="005A18E6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имущественной формы участия в реализации инициативного проекта (предоставление техники, транспортных средств, оборудования 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5A18E6" w:rsidRPr="009F5435" w:rsidRDefault="005A18E6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п.п.</w:t>
            </w:r>
          </w:p>
        </w:tc>
        <w:tc>
          <w:tcPr>
            <w:tcW w:w="6446" w:type="dxa"/>
            <w:gridSpan w:val="3"/>
            <w:vAlign w:val="center"/>
          </w:tcPr>
          <w:p w:rsidR="005A18E6" w:rsidRPr="009F5435" w:rsidRDefault="005A18E6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3119" w:type="dxa"/>
            <w:vAlign w:val="center"/>
          </w:tcPr>
          <w:p w:rsidR="005A18E6" w:rsidRPr="009F5435" w:rsidRDefault="005A18E6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A18E6" w:rsidRPr="009F5435" w:rsidTr="00055717">
        <w:trPr>
          <w:trHeight w:val="292"/>
        </w:trPr>
        <w:tc>
          <w:tcPr>
            <w:tcW w:w="771" w:type="dxa"/>
            <w:vMerge/>
          </w:tcPr>
          <w:p w:rsidR="005A18E6" w:rsidRPr="009F5435" w:rsidRDefault="005A18E6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5A18E6" w:rsidRPr="009F5435" w:rsidRDefault="005A18E6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18E6" w:rsidRPr="009F5435" w:rsidRDefault="005A18E6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  <w:gridSpan w:val="3"/>
            <w:vAlign w:val="center"/>
          </w:tcPr>
          <w:p w:rsidR="005A18E6" w:rsidRPr="009F5435" w:rsidRDefault="005A18E6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3119" w:type="dxa"/>
            <w:vAlign w:val="center"/>
          </w:tcPr>
          <w:p w:rsidR="005A18E6" w:rsidRPr="009F5435" w:rsidRDefault="005A18E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A18E6" w:rsidRPr="009F5435" w:rsidTr="00055717">
        <w:tc>
          <w:tcPr>
            <w:tcW w:w="771" w:type="dxa"/>
            <w:vMerge/>
          </w:tcPr>
          <w:p w:rsidR="005A18E6" w:rsidRPr="009F5435" w:rsidRDefault="005A18E6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5A18E6" w:rsidRPr="009F5435" w:rsidRDefault="005A18E6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18E6" w:rsidRPr="009F5435" w:rsidRDefault="005A18E6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  <w:gridSpan w:val="3"/>
            <w:vAlign w:val="center"/>
          </w:tcPr>
          <w:p w:rsidR="005A18E6" w:rsidRPr="009F5435" w:rsidRDefault="005A18E6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специальной и специализированной техники</w:t>
            </w:r>
          </w:p>
        </w:tc>
        <w:tc>
          <w:tcPr>
            <w:tcW w:w="3119" w:type="dxa"/>
            <w:vAlign w:val="center"/>
          </w:tcPr>
          <w:p w:rsidR="005A18E6" w:rsidRPr="009F5435" w:rsidRDefault="005A18E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18E6" w:rsidRPr="009F5435" w:rsidTr="00055717">
        <w:trPr>
          <w:trHeight w:val="254"/>
        </w:trPr>
        <w:tc>
          <w:tcPr>
            <w:tcW w:w="771" w:type="dxa"/>
            <w:vMerge/>
          </w:tcPr>
          <w:p w:rsidR="005A18E6" w:rsidRPr="009F5435" w:rsidRDefault="005A18E6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5A18E6" w:rsidRPr="009F5435" w:rsidRDefault="005A18E6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18E6" w:rsidRPr="009F5435" w:rsidRDefault="005A18E6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6" w:type="dxa"/>
            <w:gridSpan w:val="3"/>
            <w:vAlign w:val="center"/>
          </w:tcPr>
          <w:p w:rsidR="005A18E6" w:rsidRPr="009F5435" w:rsidRDefault="005A18E6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3119" w:type="dxa"/>
            <w:vAlign w:val="center"/>
          </w:tcPr>
          <w:p w:rsidR="005A18E6" w:rsidRPr="009F5435" w:rsidRDefault="005A18E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A18E6" w:rsidRPr="009F5435" w:rsidTr="00055717">
        <w:tc>
          <w:tcPr>
            <w:tcW w:w="771" w:type="dxa"/>
            <w:vMerge/>
          </w:tcPr>
          <w:p w:rsidR="005A18E6" w:rsidRPr="009F5435" w:rsidRDefault="005A18E6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5A18E6" w:rsidRPr="009F5435" w:rsidRDefault="005A18E6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18E6" w:rsidRPr="009F5435" w:rsidRDefault="005A18E6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6" w:type="dxa"/>
            <w:gridSpan w:val="3"/>
            <w:vAlign w:val="center"/>
          </w:tcPr>
          <w:p w:rsidR="005A18E6" w:rsidRPr="009F5435" w:rsidRDefault="005A18E6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(расходных материалов)</w:t>
            </w:r>
          </w:p>
        </w:tc>
        <w:tc>
          <w:tcPr>
            <w:tcW w:w="3119" w:type="dxa"/>
            <w:vAlign w:val="center"/>
          </w:tcPr>
          <w:p w:rsidR="005A18E6" w:rsidRPr="009F5435" w:rsidRDefault="005A18E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A18E6" w:rsidRPr="009F5435" w:rsidTr="00055717">
        <w:tc>
          <w:tcPr>
            <w:tcW w:w="771" w:type="dxa"/>
            <w:vMerge/>
          </w:tcPr>
          <w:p w:rsidR="005A18E6" w:rsidRPr="009F5435" w:rsidRDefault="005A18E6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5A18E6" w:rsidRPr="009F5435" w:rsidRDefault="005A18E6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18E6" w:rsidRPr="009F5435" w:rsidRDefault="005A18E6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6" w:type="dxa"/>
            <w:gridSpan w:val="3"/>
            <w:vAlign w:val="center"/>
          </w:tcPr>
          <w:p w:rsidR="005A18E6" w:rsidRDefault="005A18E6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формы (</w:t>
            </w:r>
            <w:r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5370" w:rsidRPr="00BD5B9D" w:rsidRDefault="00DD5370" w:rsidP="00DD5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  <w:szCs w:val="24"/>
              </w:rPr>
              <w:t>Предоставление костюмов для проведения воспитательно-образовательных мероприятий, представлений, развлечений, праздников.</w:t>
            </w:r>
          </w:p>
          <w:p w:rsidR="005A18E6" w:rsidRPr="009F5435" w:rsidRDefault="005A18E6" w:rsidP="00DD5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A18E6" w:rsidRPr="009F5435" w:rsidRDefault="005A18E6" w:rsidP="00BD5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055717">
        <w:tc>
          <w:tcPr>
            <w:tcW w:w="771" w:type="dxa"/>
            <w:vMerge w:val="restart"/>
          </w:tcPr>
          <w:p w:rsidR="004C653A" w:rsidRPr="009F5435" w:rsidRDefault="004C653A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446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3119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:rsidTr="00055717">
        <w:tc>
          <w:tcPr>
            <w:tcW w:w="771" w:type="dxa"/>
            <w:vMerge/>
          </w:tcPr>
          <w:p w:rsidR="004C653A" w:rsidRPr="009F5435" w:rsidRDefault="004C653A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  <w:gridSpan w:val="3"/>
            <w:vAlign w:val="center"/>
          </w:tcPr>
          <w:p w:rsidR="004C653A" w:rsidRPr="009F5435" w:rsidRDefault="0035398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  <w:tc>
          <w:tcPr>
            <w:tcW w:w="3119" w:type="dxa"/>
            <w:vAlign w:val="center"/>
          </w:tcPr>
          <w:p w:rsidR="004C653A" w:rsidRPr="009F5435" w:rsidRDefault="00353983" w:rsidP="003539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3A" w:rsidRPr="009F5435" w:rsidTr="00055717">
        <w:tc>
          <w:tcPr>
            <w:tcW w:w="771" w:type="dxa"/>
            <w:vMerge/>
          </w:tcPr>
          <w:p w:rsidR="004C653A" w:rsidRPr="009F5435" w:rsidRDefault="004C653A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  <w:gridSpan w:val="3"/>
            <w:vAlign w:val="center"/>
          </w:tcPr>
          <w:p w:rsidR="004C653A" w:rsidRPr="009F5435" w:rsidRDefault="0035398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установке</w:t>
            </w:r>
            <w:r w:rsidR="004C33D0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интерактивного оборудования</w:t>
            </w:r>
          </w:p>
        </w:tc>
        <w:tc>
          <w:tcPr>
            <w:tcW w:w="3119" w:type="dxa"/>
            <w:vAlign w:val="center"/>
          </w:tcPr>
          <w:p w:rsidR="004C653A" w:rsidRPr="009F5435" w:rsidRDefault="00353983" w:rsidP="003539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3A" w:rsidRPr="009F5435" w:rsidTr="00055717">
        <w:tc>
          <w:tcPr>
            <w:tcW w:w="771" w:type="dxa"/>
            <w:vMerge/>
          </w:tcPr>
          <w:p w:rsidR="004C653A" w:rsidRPr="009F5435" w:rsidRDefault="004C653A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353983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6" w:type="dxa"/>
            <w:gridSpan w:val="3"/>
            <w:vAlign w:val="center"/>
          </w:tcPr>
          <w:p w:rsidR="004C653A" w:rsidRPr="009F5435" w:rsidRDefault="0035398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пошиву штор</w:t>
            </w:r>
          </w:p>
        </w:tc>
        <w:tc>
          <w:tcPr>
            <w:tcW w:w="3119" w:type="dxa"/>
            <w:vAlign w:val="center"/>
          </w:tcPr>
          <w:p w:rsidR="004C653A" w:rsidRPr="009F5435" w:rsidRDefault="00353983" w:rsidP="003539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983" w:rsidRPr="009F5435" w:rsidTr="00055717">
        <w:tc>
          <w:tcPr>
            <w:tcW w:w="771" w:type="dxa"/>
            <w:vMerge/>
          </w:tcPr>
          <w:p w:rsidR="00353983" w:rsidRPr="009F5435" w:rsidRDefault="00353983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53983" w:rsidRPr="009F5435" w:rsidRDefault="00353983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53983" w:rsidRDefault="00353983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6" w:type="dxa"/>
            <w:gridSpan w:val="3"/>
            <w:vAlign w:val="center"/>
          </w:tcPr>
          <w:p w:rsidR="00353983" w:rsidRDefault="0005571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Художественно-оформительские</w:t>
            </w:r>
            <w:r w:rsidR="00353983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119" w:type="dxa"/>
            <w:vAlign w:val="center"/>
          </w:tcPr>
          <w:p w:rsidR="00353983" w:rsidRDefault="00353983" w:rsidP="003539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3983" w:rsidRPr="009F5435" w:rsidTr="00055717">
        <w:tc>
          <w:tcPr>
            <w:tcW w:w="771" w:type="dxa"/>
            <w:vMerge/>
          </w:tcPr>
          <w:p w:rsidR="00353983" w:rsidRPr="009F5435" w:rsidRDefault="00353983" w:rsidP="00476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53983" w:rsidRPr="009F5435" w:rsidRDefault="00353983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53983" w:rsidRDefault="00353983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6" w:type="dxa"/>
            <w:gridSpan w:val="3"/>
            <w:vAlign w:val="center"/>
          </w:tcPr>
          <w:p w:rsidR="00353983" w:rsidRDefault="0035398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установке и укреплению мебели</w:t>
            </w:r>
          </w:p>
        </w:tc>
        <w:tc>
          <w:tcPr>
            <w:tcW w:w="3119" w:type="dxa"/>
            <w:vAlign w:val="center"/>
          </w:tcPr>
          <w:p w:rsidR="00353983" w:rsidRDefault="00353983" w:rsidP="003539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4CB6" w:rsidRPr="009F5435" w:rsidTr="00055717">
        <w:tc>
          <w:tcPr>
            <w:tcW w:w="771" w:type="dxa"/>
            <w:vMerge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C24CB6" w:rsidRPr="009F5435" w:rsidRDefault="00C24CB6" w:rsidP="00C24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24CB6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6" w:type="dxa"/>
            <w:gridSpan w:val="3"/>
            <w:vAlign w:val="center"/>
          </w:tcPr>
          <w:p w:rsidR="00C24CB6" w:rsidRPr="009F5435" w:rsidRDefault="00C24CB6" w:rsidP="00C24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электрообеспечению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помещения.</w:t>
            </w:r>
          </w:p>
        </w:tc>
        <w:tc>
          <w:tcPr>
            <w:tcW w:w="3119" w:type="dxa"/>
            <w:vAlign w:val="center"/>
          </w:tcPr>
          <w:p w:rsidR="00C24CB6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CB6" w:rsidRPr="009F5435" w:rsidTr="00055717">
        <w:tc>
          <w:tcPr>
            <w:tcW w:w="771" w:type="dxa"/>
            <w:vMerge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C24CB6" w:rsidRPr="009F5435" w:rsidRDefault="00C24CB6" w:rsidP="00C24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4" w:type="dxa"/>
            <w:gridSpan w:val="5"/>
            <w:vAlign w:val="center"/>
          </w:tcPr>
          <w:p w:rsidR="00C24CB6" w:rsidRPr="009F5435" w:rsidRDefault="00C24CB6" w:rsidP="00C24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vAlign w:val="center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4CB6" w:rsidRPr="009F5435" w:rsidTr="00055717">
        <w:tc>
          <w:tcPr>
            <w:tcW w:w="771" w:type="dxa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C24CB6" w:rsidRPr="009F5435" w:rsidRDefault="00C24CB6" w:rsidP="00C24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10273" w:type="dxa"/>
            <w:gridSpan w:val="6"/>
            <w:vAlign w:val="center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24CB6" w:rsidRPr="009F5435" w:rsidTr="00055717">
        <w:tc>
          <w:tcPr>
            <w:tcW w:w="771" w:type="dxa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4333" w:type="dxa"/>
            <w:vAlign w:val="center"/>
          </w:tcPr>
          <w:p w:rsidR="00C24CB6" w:rsidRPr="009F5435" w:rsidRDefault="00C24CB6" w:rsidP="00C24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10273" w:type="dxa"/>
            <w:gridSpan w:val="6"/>
            <w:vAlign w:val="center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83">
              <w:rPr>
                <w:rFonts w:ascii="Times New Roman" w:hAnsi="Times New Roman" w:cs="Times New Roman"/>
                <w:sz w:val="24"/>
                <w:szCs w:val="24"/>
              </w:rPr>
              <w:t>Городской округ муниципального образования "город Тулун"</w:t>
            </w:r>
          </w:p>
        </w:tc>
      </w:tr>
      <w:tr w:rsidR="00C24CB6" w:rsidRPr="009F5435" w:rsidTr="00055717">
        <w:tc>
          <w:tcPr>
            <w:tcW w:w="771" w:type="dxa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C24CB6" w:rsidRPr="009F5435" w:rsidRDefault="00C24CB6" w:rsidP="00C24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0273" w:type="dxa"/>
            <w:gridSpan w:val="6"/>
            <w:vAlign w:val="center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Тулун</w:t>
            </w:r>
          </w:p>
        </w:tc>
      </w:tr>
      <w:tr w:rsidR="00C24CB6" w:rsidRPr="009F5435" w:rsidTr="00055717">
        <w:tc>
          <w:tcPr>
            <w:tcW w:w="771" w:type="dxa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C24CB6" w:rsidRPr="009F5435" w:rsidRDefault="00C24CB6" w:rsidP="00C24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10273" w:type="dxa"/>
            <w:gridSpan w:val="6"/>
            <w:vAlign w:val="center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 «Угольщиков», 33</w:t>
            </w:r>
          </w:p>
        </w:tc>
      </w:tr>
      <w:tr w:rsidR="00C24CB6" w:rsidRPr="009F5435" w:rsidTr="00055717">
        <w:tc>
          <w:tcPr>
            <w:tcW w:w="771" w:type="dxa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C24CB6" w:rsidRPr="009F5435" w:rsidRDefault="00C24CB6" w:rsidP="00C24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10273" w:type="dxa"/>
            <w:gridSpan w:val="6"/>
            <w:vAlign w:val="center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человек</w:t>
            </w:r>
          </w:p>
        </w:tc>
      </w:tr>
      <w:tr w:rsidR="00C24CB6" w:rsidRPr="009F5435" w:rsidTr="00055717">
        <w:trPr>
          <w:trHeight w:val="87"/>
        </w:trPr>
        <w:tc>
          <w:tcPr>
            <w:tcW w:w="771" w:type="dxa"/>
            <w:vMerge w:val="restart"/>
          </w:tcPr>
          <w:p w:rsidR="00C24CB6" w:rsidRPr="00BD5B9D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:rsidR="00C24CB6" w:rsidRPr="00BD5B9D" w:rsidRDefault="00C24CB6" w:rsidP="00C24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3"/>
            <w:vAlign w:val="center"/>
          </w:tcPr>
          <w:p w:rsidR="00C24CB6" w:rsidRPr="00BD5B9D" w:rsidRDefault="00C24CB6" w:rsidP="00C24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6871" w:type="dxa"/>
            <w:gridSpan w:val="3"/>
            <w:vAlign w:val="center"/>
          </w:tcPr>
          <w:p w:rsidR="00C24CB6" w:rsidRPr="00BD5B9D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C24CB6" w:rsidRPr="009F5435" w:rsidTr="00055717">
        <w:trPr>
          <w:trHeight w:val="20"/>
        </w:trPr>
        <w:tc>
          <w:tcPr>
            <w:tcW w:w="771" w:type="dxa"/>
            <w:vMerge/>
          </w:tcPr>
          <w:p w:rsidR="00C24CB6" w:rsidRPr="00BD5B9D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C24CB6" w:rsidRPr="00BD5B9D" w:rsidRDefault="00C24CB6" w:rsidP="00C24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C24CB6" w:rsidRPr="00BD5B9D" w:rsidRDefault="00C24CB6" w:rsidP="00C24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6871" w:type="dxa"/>
            <w:gridSpan w:val="3"/>
            <w:vAlign w:val="center"/>
          </w:tcPr>
          <w:p w:rsidR="00C24CB6" w:rsidRPr="00BD5B9D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  <w:szCs w:val="24"/>
              </w:rPr>
              <w:t>3909</w:t>
            </w:r>
          </w:p>
        </w:tc>
      </w:tr>
      <w:tr w:rsidR="00C24CB6" w:rsidRPr="009F5435" w:rsidTr="00055717">
        <w:trPr>
          <w:trHeight w:val="20"/>
        </w:trPr>
        <w:tc>
          <w:tcPr>
            <w:tcW w:w="771" w:type="dxa"/>
            <w:vMerge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C24CB6" w:rsidRPr="009F5435" w:rsidRDefault="00C24CB6" w:rsidP="00C24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C24CB6" w:rsidRPr="009F5435" w:rsidRDefault="00C24CB6" w:rsidP="00C24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871" w:type="dxa"/>
            <w:gridSpan w:val="3"/>
            <w:vAlign w:val="center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</w:t>
            </w:r>
          </w:p>
        </w:tc>
      </w:tr>
      <w:tr w:rsidR="00C24CB6" w:rsidRPr="009F5435" w:rsidTr="00055717">
        <w:trPr>
          <w:trHeight w:val="120"/>
        </w:trPr>
        <w:tc>
          <w:tcPr>
            <w:tcW w:w="771" w:type="dxa"/>
            <w:vMerge w:val="restart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:rsidR="00C24CB6" w:rsidRPr="005A18E6" w:rsidRDefault="00C24CB6" w:rsidP="00C24CB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610" w:type="dxa"/>
            <w:gridSpan w:val="3"/>
            <w:vAlign w:val="center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6096" w:type="dxa"/>
            <w:gridSpan w:val="2"/>
            <w:vAlign w:val="center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C24CB6" w:rsidRPr="009F5435" w:rsidTr="00055717">
        <w:trPr>
          <w:trHeight w:val="538"/>
        </w:trPr>
        <w:tc>
          <w:tcPr>
            <w:tcW w:w="771" w:type="dxa"/>
            <w:vMerge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C24CB6" w:rsidRPr="009F5435" w:rsidRDefault="00C24CB6" w:rsidP="00C24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0" w:type="dxa"/>
            <w:gridSpan w:val="3"/>
            <w:vAlign w:val="center"/>
          </w:tcPr>
          <w:p w:rsidR="00C24CB6" w:rsidRPr="009F5435" w:rsidRDefault="00C24CB6" w:rsidP="00C24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6096" w:type="dxa"/>
            <w:gridSpan w:val="2"/>
            <w:vAlign w:val="center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B6" w:rsidRPr="009F5435" w:rsidTr="00055717">
        <w:trPr>
          <w:trHeight w:val="120"/>
        </w:trPr>
        <w:tc>
          <w:tcPr>
            <w:tcW w:w="771" w:type="dxa"/>
            <w:vMerge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C24CB6" w:rsidRPr="009F5435" w:rsidRDefault="00C24CB6" w:rsidP="00C24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0" w:type="dxa"/>
            <w:gridSpan w:val="3"/>
            <w:vAlign w:val="center"/>
          </w:tcPr>
          <w:p w:rsidR="00C24CB6" w:rsidRPr="009F5435" w:rsidRDefault="00C24CB6" w:rsidP="00C24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6096" w:type="dxa"/>
            <w:gridSpan w:val="2"/>
            <w:vAlign w:val="center"/>
          </w:tcPr>
          <w:p w:rsidR="00C24CB6" w:rsidRPr="009F5435" w:rsidRDefault="008840D2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726CB" w:rsidRPr="004D393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http://garmoniya.tulunr.ru/</w:t>
              </w:r>
            </w:hyperlink>
            <w:r w:rsidR="0057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CB6" w:rsidRPr="009F5435" w:rsidTr="00055717">
        <w:trPr>
          <w:trHeight w:val="151"/>
        </w:trPr>
        <w:tc>
          <w:tcPr>
            <w:tcW w:w="771" w:type="dxa"/>
            <w:vMerge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C24CB6" w:rsidRPr="009F5435" w:rsidRDefault="00C24CB6" w:rsidP="00C24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0" w:type="dxa"/>
            <w:gridSpan w:val="3"/>
            <w:vAlign w:val="center"/>
          </w:tcPr>
          <w:p w:rsidR="00C24CB6" w:rsidRPr="009F5435" w:rsidRDefault="00C24CB6" w:rsidP="00C24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6096" w:type="dxa"/>
            <w:gridSpan w:val="2"/>
            <w:vAlign w:val="center"/>
          </w:tcPr>
          <w:p w:rsidR="00C24CB6" w:rsidRPr="00B367E3" w:rsidRDefault="008840D2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24CB6" w:rsidRPr="00FC53D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https://vk.com/wall-216958192_1026</w:t>
              </w:r>
            </w:hyperlink>
            <w:r w:rsidR="00C2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CB6" w:rsidRPr="009F5435" w:rsidRDefault="008840D2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24CB6" w:rsidRPr="00FC53D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https://ok.ru/group/70000001934465/topic/155860110772353</w:t>
              </w:r>
            </w:hyperlink>
            <w:r w:rsidR="00C2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CB6" w:rsidRPr="009F5435" w:rsidTr="00055717">
        <w:trPr>
          <w:trHeight w:val="120"/>
        </w:trPr>
        <w:tc>
          <w:tcPr>
            <w:tcW w:w="771" w:type="dxa"/>
            <w:vMerge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C24CB6" w:rsidRPr="009F5435" w:rsidRDefault="00C24CB6" w:rsidP="00C24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10" w:type="dxa"/>
            <w:gridSpan w:val="3"/>
            <w:vAlign w:val="center"/>
          </w:tcPr>
          <w:p w:rsidR="00C24CB6" w:rsidRPr="009F5435" w:rsidRDefault="00C24CB6" w:rsidP="00C24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стендах</w:t>
            </w:r>
          </w:p>
        </w:tc>
        <w:tc>
          <w:tcPr>
            <w:tcW w:w="6096" w:type="dxa"/>
            <w:gridSpan w:val="2"/>
            <w:vAlign w:val="center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размещена в холе учреждения </w:t>
            </w:r>
            <w:hyperlink r:id="rId10" w:history="1">
              <w:r w:rsidR="005726CB" w:rsidRPr="004D393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https://disk.yandex.ru/d/k-unIBq-1-57kw</w:t>
              </w:r>
            </w:hyperlink>
            <w:r w:rsidR="0057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CB6" w:rsidRPr="009F5435" w:rsidTr="00055717">
        <w:trPr>
          <w:trHeight w:val="120"/>
        </w:trPr>
        <w:tc>
          <w:tcPr>
            <w:tcW w:w="771" w:type="dxa"/>
            <w:vMerge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C24CB6" w:rsidRPr="009F5435" w:rsidRDefault="00C24CB6" w:rsidP="00C24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10" w:type="dxa"/>
            <w:gridSpan w:val="3"/>
            <w:vAlign w:val="center"/>
          </w:tcPr>
          <w:p w:rsidR="00C24CB6" w:rsidRPr="009F5435" w:rsidRDefault="00C24CB6" w:rsidP="00C24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6096" w:type="dxa"/>
            <w:gridSpan w:val="2"/>
            <w:vAlign w:val="center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B6" w:rsidRPr="009F5435" w:rsidTr="00055717">
        <w:tc>
          <w:tcPr>
            <w:tcW w:w="771" w:type="dxa"/>
            <w:vMerge w:val="restart"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C24CB6" w:rsidRPr="009F5435" w:rsidRDefault="00C24CB6" w:rsidP="00C24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10273" w:type="dxa"/>
            <w:gridSpan w:val="6"/>
            <w:vAlign w:val="center"/>
          </w:tcPr>
          <w:p w:rsidR="00C24CB6" w:rsidRPr="009F5435" w:rsidRDefault="00C24CB6" w:rsidP="00C24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B6" w:rsidRPr="00BE4D56" w:rsidTr="00055717">
        <w:tc>
          <w:tcPr>
            <w:tcW w:w="771" w:type="dxa"/>
            <w:vMerge/>
          </w:tcPr>
          <w:p w:rsidR="00C24CB6" w:rsidRPr="009F5435" w:rsidRDefault="00C24CB6" w:rsidP="00C2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C24CB6" w:rsidRPr="009F5435" w:rsidRDefault="00C24CB6" w:rsidP="00C24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3" w:type="dxa"/>
            <w:gridSpan w:val="6"/>
            <w:vAlign w:val="center"/>
          </w:tcPr>
          <w:p w:rsidR="00C24CB6" w:rsidRPr="00B14D7E" w:rsidRDefault="00C24CB6" w:rsidP="00C24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B14D7E">
              <w:rPr>
                <w:lang w:val="en-US"/>
              </w:rPr>
              <w:t xml:space="preserve"> </w:t>
            </w:r>
            <w:r w:rsidRPr="00B1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MBDOUGarmonia-2015@yandex.ru   </w:t>
            </w:r>
          </w:p>
        </w:tc>
      </w:tr>
    </w:tbl>
    <w:p w:rsidR="004C653A" w:rsidRPr="00B14D7E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P313"/>
      <w:bookmarkStart w:id="4" w:name="P314"/>
      <w:bookmarkEnd w:id="3"/>
      <w:bookmarkEnd w:id="4"/>
    </w:p>
    <w:p w:rsidR="00BE4D56" w:rsidRPr="00162CDC" w:rsidRDefault="00BE4D56" w:rsidP="00BE4D56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Заинтересованные жители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Тулуна, достигшие шестнадцатилетнего возраста,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представить свои замечания и предложения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инициативному проекту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письменном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ул.  Ленина, 99 кабинет 21 или на адрес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 </w:t>
      </w:r>
      <w:hyperlink r:id="rId11" w:history="1"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val="en-US" w:eastAsia="ru-RU"/>
          </w:rPr>
          <w:t>fin</w:t>
        </w:r>
        <w:r w:rsidRPr="00CD65F7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09</w:t>
        </w:r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val="en-US" w:eastAsia="ru-RU"/>
          </w:rPr>
          <w:t>govirk</w:t>
        </w:r>
        <w:proofErr w:type="spellEnd"/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Pr="00CD6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срок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17.00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часов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 сентября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202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года.</w:t>
      </w:r>
    </w:p>
    <w:p w:rsidR="00695A7F" w:rsidRPr="00162CDC" w:rsidRDefault="00695A7F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sectPr w:rsidR="00695A7F" w:rsidRPr="00162CDC" w:rsidSect="00725714">
      <w:headerReference w:type="default" r:id="rId12"/>
      <w:footnotePr>
        <w:pos w:val="beneathText"/>
      </w:footnotePr>
      <w:pgSz w:w="16838" w:h="11906" w:orient="landscape"/>
      <w:pgMar w:top="284" w:right="709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71B" w:rsidRDefault="00AB571B" w:rsidP="004C653A">
      <w:pPr>
        <w:spacing w:after="0" w:line="240" w:lineRule="auto"/>
      </w:pPr>
      <w:r>
        <w:separator/>
      </w:r>
    </w:p>
  </w:endnote>
  <w:endnote w:type="continuationSeparator" w:id="0">
    <w:p w:rsidR="00AB571B" w:rsidRDefault="00AB571B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71B" w:rsidRDefault="00AB571B" w:rsidP="004C653A">
      <w:pPr>
        <w:spacing w:after="0" w:line="240" w:lineRule="auto"/>
      </w:pPr>
      <w:r>
        <w:separator/>
      </w:r>
    </w:p>
  </w:footnote>
  <w:footnote w:type="continuationSeparator" w:id="0">
    <w:p w:rsidR="00AB571B" w:rsidRDefault="00AB571B" w:rsidP="004C653A">
      <w:pPr>
        <w:spacing w:after="0" w:line="240" w:lineRule="auto"/>
      </w:pPr>
      <w:r>
        <w:continuationSeparator/>
      </w:r>
    </w:p>
  </w:footnote>
  <w:footnote w:id="1">
    <w:p w:rsidR="000202D1" w:rsidRPr="004C653A" w:rsidRDefault="000202D1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9297147"/>
      <w:docPartObj>
        <w:docPartGallery w:val="Page Numbers (Top of Page)"/>
        <w:docPartUnique/>
      </w:docPartObj>
    </w:sdtPr>
    <w:sdtContent>
      <w:p w:rsidR="000202D1" w:rsidRDefault="008840D2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0202D1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BE4D56">
          <w:rPr>
            <w:rFonts w:ascii="Times New Roman" w:hAnsi="Times New Roman"/>
            <w:noProof/>
            <w:sz w:val="28"/>
            <w:szCs w:val="28"/>
          </w:rPr>
          <w:t>7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202D1" w:rsidRDefault="000202D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66E06"/>
    <w:rsid w:val="000202D1"/>
    <w:rsid w:val="0004588E"/>
    <w:rsid w:val="000551D7"/>
    <w:rsid w:val="00055717"/>
    <w:rsid w:val="00087D9E"/>
    <w:rsid w:val="000E2CAF"/>
    <w:rsid w:val="00162CDC"/>
    <w:rsid w:val="001C5B95"/>
    <w:rsid w:val="001F7F7A"/>
    <w:rsid w:val="00221EE3"/>
    <w:rsid w:val="00311388"/>
    <w:rsid w:val="00352E42"/>
    <w:rsid w:val="00353983"/>
    <w:rsid w:val="00392367"/>
    <w:rsid w:val="003A4BC1"/>
    <w:rsid w:val="004767EA"/>
    <w:rsid w:val="004A7466"/>
    <w:rsid w:val="004B4500"/>
    <w:rsid w:val="004C33D0"/>
    <w:rsid w:val="004C653A"/>
    <w:rsid w:val="005403D0"/>
    <w:rsid w:val="00550FEC"/>
    <w:rsid w:val="0055544A"/>
    <w:rsid w:val="005726CB"/>
    <w:rsid w:val="005863AC"/>
    <w:rsid w:val="005A18E6"/>
    <w:rsid w:val="005A19AF"/>
    <w:rsid w:val="005E4AB1"/>
    <w:rsid w:val="005F0BDD"/>
    <w:rsid w:val="006344CA"/>
    <w:rsid w:val="00695A7F"/>
    <w:rsid w:val="006A2E94"/>
    <w:rsid w:val="006A5D11"/>
    <w:rsid w:val="006B649F"/>
    <w:rsid w:val="006C12C5"/>
    <w:rsid w:val="007153E0"/>
    <w:rsid w:val="00725714"/>
    <w:rsid w:val="00812EEE"/>
    <w:rsid w:val="00817D2F"/>
    <w:rsid w:val="008627B2"/>
    <w:rsid w:val="008840D2"/>
    <w:rsid w:val="00924624"/>
    <w:rsid w:val="009D2133"/>
    <w:rsid w:val="009F03B5"/>
    <w:rsid w:val="009F5435"/>
    <w:rsid w:val="00A2365E"/>
    <w:rsid w:val="00AB15A2"/>
    <w:rsid w:val="00AB571B"/>
    <w:rsid w:val="00AE1D98"/>
    <w:rsid w:val="00AF5543"/>
    <w:rsid w:val="00B06859"/>
    <w:rsid w:val="00B14D7E"/>
    <w:rsid w:val="00B367E3"/>
    <w:rsid w:val="00B41743"/>
    <w:rsid w:val="00B94469"/>
    <w:rsid w:val="00B96A1D"/>
    <w:rsid w:val="00BD5B9D"/>
    <w:rsid w:val="00BE4D56"/>
    <w:rsid w:val="00BF06AB"/>
    <w:rsid w:val="00C24CB6"/>
    <w:rsid w:val="00CB1CA8"/>
    <w:rsid w:val="00CC3474"/>
    <w:rsid w:val="00D80252"/>
    <w:rsid w:val="00DD5370"/>
    <w:rsid w:val="00E32F79"/>
    <w:rsid w:val="00E50921"/>
    <w:rsid w:val="00EF373A"/>
    <w:rsid w:val="00F22EEE"/>
    <w:rsid w:val="00F40266"/>
    <w:rsid w:val="00F66E06"/>
    <w:rsid w:val="00F84DEE"/>
    <w:rsid w:val="00FE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39"/>
    <w:rsid w:val="000E2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367E3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5A18E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6958192_102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rmoniya.tulunr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in09@govir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isk.yandex.ru/d/k-unIBq-1-57k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1934465/topic/1558601107723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BBDBE-3501-4635-8FFD-DE7E17B9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Скудаева Ирина Александровна</dc:creator>
  <cp:lastModifiedBy>BO-1</cp:lastModifiedBy>
  <cp:revision>15</cp:revision>
  <cp:lastPrinted>2024-08-23T00:34:00Z</cp:lastPrinted>
  <dcterms:created xsi:type="dcterms:W3CDTF">2024-08-15T03:01:00Z</dcterms:created>
  <dcterms:modified xsi:type="dcterms:W3CDTF">2024-08-26T08:38:00Z</dcterms:modified>
</cp:coreProperties>
</file>