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2EA0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70555D9B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4E6F7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6F4D5BAF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32D2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28B5">
        <w:rPr>
          <w:rFonts w:ascii="Times New Roman" w:hAnsi="Times New Roman" w:cs="Times New Roman"/>
          <w:sz w:val="28"/>
          <w:szCs w:val="28"/>
        </w:rPr>
        <w:t>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BA71BD6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5906" w14:textId="77777777" w:rsidR="00C3735A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</w:p>
    <w:p w14:paraId="6F6B5872" w14:textId="70079167" w:rsidR="004666C9" w:rsidRDefault="00C3735A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35A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C3735A">
        <w:rPr>
          <w:rFonts w:ascii="Times New Roman" w:hAnsi="Times New Roman" w:cs="Times New Roman"/>
          <w:sz w:val="28"/>
          <w:szCs w:val="28"/>
        </w:rPr>
        <w:t>, действующее от имени собственника муниципального имущества – муниципального образования – «город Тулун»,  именуемое в дальнейшем «</w:t>
      </w:r>
      <w:r w:rsidRPr="00C3735A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3735A">
        <w:rPr>
          <w:rFonts w:ascii="Times New Roman" w:hAnsi="Times New Roman" w:cs="Times New Roman"/>
          <w:sz w:val="28"/>
          <w:szCs w:val="28"/>
        </w:rPr>
        <w:t>», 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Pr="00C3735A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года № 01, </w:t>
      </w:r>
      <w:r w:rsidRPr="00C3735A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="001563F8" w:rsidRPr="005D3B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563F8" w:rsidRPr="005D3B1C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563F8" w:rsidRPr="00D1392A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="001563F8" w:rsidRPr="005D3B1C">
        <w:rPr>
          <w:rFonts w:ascii="Times New Roman" w:hAnsi="Times New Roman" w:cs="Times New Roman"/>
          <w:sz w:val="28"/>
          <w:szCs w:val="28"/>
        </w:rPr>
        <w:t>, в лице ____________________________________________, действующего(ей) на основании ______________________________________, с другой стороны</w:t>
      </w:r>
      <w:r w:rsidR="00A9422C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«Стороны», </w:t>
      </w:r>
    </w:p>
    <w:p w14:paraId="042CFB6A" w14:textId="4B292C06" w:rsidR="001563F8" w:rsidRPr="005D3B1C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35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735A">
        <w:rPr>
          <w:rFonts w:ascii="Times New Roman" w:hAnsi="Times New Roman" w:cs="Times New Roman"/>
          <w:sz w:val="28"/>
          <w:szCs w:val="28"/>
        </w:rPr>
        <w:t xml:space="preserve">ротокола об итогах продажи имущества посредством публичного предложения 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5D3B1C">
        <w:rPr>
          <w:rFonts w:ascii="Times New Roman" w:hAnsi="Times New Roman" w:cs="Times New Roman"/>
          <w:sz w:val="28"/>
          <w:szCs w:val="28"/>
        </w:rPr>
        <w:t>__________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4CB5B77F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D607F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D7BCE6B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A901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7766F5E1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3F3C108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7941395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6413B28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1F87604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27842E4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EF0D2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1D8DBC6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7741AC3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Земельный участок:</w:t>
      </w:r>
    </w:p>
    <w:p w14:paraId="6C3390E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14A63C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6DE39BB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14:paraId="4FDAB3E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352DC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2A7C0B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3E58DC9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87D1F0D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D170E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2E0A4C0E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47200" w14:textId="3CB07D8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2.1</w:t>
      </w:r>
      <w:r w:rsidRPr="00BA3AFC">
        <w:rPr>
          <w:rFonts w:ascii="Times New Roman" w:hAnsi="Times New Roman" w:cs="Times New Roman"/>
          <w:sz w:val="28"/>
          <w:szCs w:val="28"/>
        </w:rPr>
        <w:t xml:space="preserve">. Стоимость Имущества определена по итогам </w:t>
      </w:r>
      <w:r w:rsidR="00BA3AFC" w:rsidRPr="00BA3AFC">
        <w:rPr>
          <w:rFonts w:ascii="Times New Roman" w:hAnsi="Times New Roman" w:cs="Times New Roman"/>
          <w:sz w:val="28"/>
          <w:szCs w:val="28"/>
        </w:rPr>
        <w:t>продажи муниципального имущества посредством публичного предложения в электронной форме</w:t>
      </w:r>
      <w:r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BA3AFC">
        <w:rPr>
          <w:rFonts w:ascii="Times New Roman" w:hAnsi="Times New Roman" w:cs="Times New Roman"/>
          <w:sz w:val="28"/>
          <w:szCs w:val="28"/>
        </w:rPr>
        <w:t>и составляет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1429" w14:textId="77777777" w:rsidR="009B316B" w:rsidRPr="005D3B1C" w:rsidRDefault="009B316B" w:rsidP="00E96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</w:t>
      </w:r>
      <w:proofErr w:type="gramStart"/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Для</w:t>
      </w:r>
      <w:proofErr w:type="gramEnd"/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покупателей юридических лиц и физических лиц, являющихся индивидуальными предпринимателями:</w:t>
      </w:r>
      <w:r w:rsidRPr="005D3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33FF7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 рублей ___ копеек и включает (а) Цену Объекта недвижимого имущества в размере ___________ рублей___ копеек (без НДС) и (б) Цену Земельного участка в размере _____________ рублей___ копеек, НДС не облагается.</w:t>
      </w:r>
    </w:p>
    <w:p w14:paraId="20399CC2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является налоговым агентом и </w:t>
      </w:r>
      <w:proofErr w:type="gramStart"/>
      <w:r w:rsidRPr="005D3B1C">
        <w:rPr>
          <w:rFonts w:ascii="Times New Roman" w:hAnsi="Times New Roman" w:cs="Times New Roman"/>
          <w:sz w:val="28"/>
          <w:szCs w:val="28"/>
        </w:rPr>
        <w:t>обязан самостоятельно исчислить</w:t>
      </w:r>
      <w:proofErr w:type="gramEnd"/>
      <w:r w:rsidRPr="005D3B1C">
        <w:rPr>
          <w:rFonts w:ascii="Times New Roman" w:hAnsi="Times New Roman" w:cs="Times New Roman"/>
          <w:sz w:val="28"/>
          <w:szCs w:val="28"/>
        </w:rPr>
        <w:t xml:space="preserve"> и уплатить соответствующую сумму НДС по Объекту недвижимого имущества в бюджет.</w:t>
      </w:r>
    </w:p>
    <w:p w14:paraId="5D3F7087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2</w:t>
      </w:r>
      <w:proofErr w:type="gramStart"/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Для</w:t>
      </w:r>
      <w:proofErr w:type="gramEnd"/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покупателей физических лиц, не являющихся индивидуальными предпринимателями:</w:t>
      </w:r>
    </w:p>
    <w:p w14:paraId="65CCD1C5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_________________ рублей ___ копеек и включает (а) Цену Объекта недвижимого имущества в размере _____________ рублей___ копеек, НДС в размере ______________ рублей ___ копеек и (б) Цену Земельного участка в размере _____________ рублей___ копеек, НДС не облагается. </w:t>
      </w:r>
    </w:p>
    <w:p w14:paraId="7D984D87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бюджет.</w:t>
      </w:r>
    </w:p>
    <w:p w14:paraId="56E32183" w14:textId="1059D09D" w:rsidR="009B316B" w:rsidRPr="005D3B1C" w:rsidRDefault="00E966EC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 xml:space="preserve">Задаток в сумме _____________ (_____________________________) рублей __ копеек (без НДС), внесенный Покупателем на расчетный счет универсальной торговой платформы АО «Сбербанк-АСТ», засчитывается в счет оплаты Имущества. </w:t>
      </w:r>
    </w:p>
    <w:p w14:paraId="628986F7" w14:textId="77777777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2.3.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510B8C8B" w14:textId="77777777"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Р/сч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к/сч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БАНК: Отделение Иркутск Банка России//УФК по Иркутской области, г.Иркутск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431B9008" w14:textId="77777777" w:rsidR="00762BEA" w:rsidRPr="005D3B1C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о наименовании Имущества, номер и дата Договора. </w:t>
      </w:r>
    </w:p>
    <w:p w14:paraId="13714D17" w14:textId="77777777" w:rsidR="00762BEA" w:rsidRPr="005D3B1C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2.4. Моментом оплаты считается день зачисления денежных средств на указанный в п. 2.3 счет Продавца.</w:t>
      </w:r>
    </w:p>
    <w:p w14:paraId="7CA71816" w14:textId="77777777"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3EEB1" w14:textId="77777777"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14:paraId="7BF8C8F3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B8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14:paraId="0AC07689" w14:textId="77777777"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В течение 10 (десяти) рабочих дней со дня поступления полной оплаты по Договору передать Покупателю Имущество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791C60EC" w14:textId="544F2A0D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</w:t>
      </w:r>
      <w:r w:rsidR="00BA3AFC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 по Договору.</w:t>
      </w:r>
    </w:p>
    <w:p w14:paraId="50BF4534" w14:textId="77777777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14:paraId="54CEC550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Имущества по цене и в порядке, установленном в разделе 2 настоящего Договора.   </w:t>
      </w:r>
    </w:p>
    <w:p w14:paraId="1B747DB5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>3.2.2. Принять Имущество по акту приема-передачи в течение 10 (десяти) рабочих дней с даты поступления полной оплаты на счет Продавца.</w:t>
      </w:r>
    </w:p>
    <w:p w14:paraId="5F0754F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3B1C">
        <w:rPr>
          <w:rFonts w:ascii="Times New Roman" w:hAnsi="Times New Roman" w:cs="Times New Roman"/>
        </w:rPr>
        <w:t xml:space="preserve">3.2.3 Обеспечить государственную регистрацию перехода права собственности на Имущество в Управлении Федеральной службы государственной регистрации, кадастра и картографии по Иркутской области не позднее чем через 30 (тридцать) календарных дней после дня полной оплаты Имущества. </w:t>
      </w:r>
      <w:r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Имущество несет Покупатель. </w:t>
      </w:r>
    </w:p>
    <w:p w14:paraId="37530A6E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7C3E61F" w14:textId="77777777"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lastRenderedPageBreak/>
        <w:t xml:space="preserve">4. Переход права собственности на Имущество </w:t>
      </w:r>
    </w:p>
    <w:p w14:paraId="015FE3AB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56ADD7A2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66364AC0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4.2. Исполнение Покупателем обязательств по оплате Имущества подтверждается выписками о поступлении денежных средств на счет Продавца по указанным в п. 2.3 реквизитам.</w:t>
      </w:r>
    </w:p>
    <w:p w14:paraId="4BDE9871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4.3.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Имущества. </w:t>
      </w:r>
    </w:p>
    <w:p w14:paraId="358B0815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1F016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14:paraId="7824496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3207385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EFC8843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5.2. За нарушение сроков оплаты Имущества в порядке, предусмотренном разделом 2 настоящего Договора, Покупатель уплачивает Продавцу пеню в размере 0,05 % от стоимости Имущества за каждый день просрочки.</w:t>
      </w:r>
    </w:p>
    <w:p w14:paraId="29044F1A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разделом 2 настоящего Договора.</w:t>
      </w:r>
    </w:p>
    <w:p w14:paraId="255B6D57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Продавец в течение 3 (трех) дней с момента истечения допустимой просрочки вправе направить Покупателю письменное уведомление, 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14:paraId="3F7E74BA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50E067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14:paraId="46BDD1A5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517" w14:textId="77777777"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738DE81" w14:textId="77777777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4BBCCB1C" w14:textId="3C810391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4C8DF9E" w14:textId="78A3B95A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</w:t>
      </w:r>
      <w:r w:rsidR="00D35661">
        <w:rPr>
          <w:rFonts w:ascii="Times New Roman" w:hAnsi="Times New Roman" w:cs="Times New Roman"/>
          <w:color w:val="000000"/>
          <w:sz w:val="28"/>
          <w:szCs w:val="28"/>
        </w:rPr>
        <w:t>1 настоящего Договора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4937803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3DE929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14:paraId="6F26B26B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A979BB2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подписания Сторонами.</w:t>
      </w:r>
    </w:p>
    <w:p w14:paraId="653CD9FF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6A83FFC6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3-х экземплярах, по одному для каждой из Сторон и для Управления Федеральной службы государственной регистрации, кадастра и картографии по Иркутской области. </w:t>
      </w:r>
    </w:p>
    <w:p w14:paraId="64F83D99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5FFB4A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737FE27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07D2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4CE40C0F" w14:textId="77777777" w:rsidTr="00393EDA">
        <w:trPr>
          <w:trHeight w:val="720"/>
        </w:trPr>
        <w:tc>
          <w:tcPr>
            <w:tcW w:w="4578" w:type="dxa"/>
          </w:tcPr>
          <w:p w14:paraId="0D1EBB1D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"/>
            <w:bookmarkEnd w:id="1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6EFD075F" w14:textId="77777777"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7C10BE6B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9661944" w14:textId="77777777"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14:paraId="38C78582" w14:textId="77777777" w:rsidTr="00393EDA">
        <w:trPr>
          <w:trHeight w:val="720"/>
        </w:trPr>
        <w:tc>
          <w:tcPr>
            <w:tcW w:w="4578" w:type="dxa"/>
          </w:tcPr>
          <w:p w14:paraId="63AF8ACA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665268, Иркутская область, г.Тулун, 18, </w:t>
            </w:r>
          </w:p>
          <w:p w14:paraId="606C6470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3955FC99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665268, Иркутская область, г.Тулун, 18, ул. Ленина, </w:t>
            </w:r>
          </w:p>
          <w:p w14:paraId="32C8403E" w14:textId="77777777" w:rsidR="00BA4906" w:rsidRPr="004C185A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1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99</w:t>
            </w:r>
          </w:p>
          <w:p w14:paraId="47554903" w14:textId="77777777" w:rsidR="00164FB6" w:rsidRPr="004C185A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C1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2-16-00, 2-18-79, </w:t>
            </w:r>
          </w:p>
          <w:p w14:paraId="2DDEE4AA" w14:textId="77777777" w:rsidR="00164FB6" w:rsidRPr="004C185A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C1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C1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="004C185A">
              <w:fldChar w:fldCharType="begin"/>
            </w:r>
            <w:r w:rsidR="004C185A" w:rsidRPr="004C185A">
              <w:rPr>
                <w:lang w:val="en-US"/>
              </w:rPr>
              <w:instrText xml:space="preserve"> HYPERLINK "mailto:buh-tulun-mer@yandex.ru" </w:instrText>
            </w:r>
            <w:r w:rsidR="004C185A">
              <w:fldChar w:fldCharType="separate"/>
            </w:r>
            <w:r w:rsidR="00164FB6" w:rsidRPr="005D3B1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buh</w:t>
            </w:r>
            <w:r w:rsidR="00164FB6" w:rsidRPr="004C185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-</w:t>
            </w:r>
            <w:r w:rsidR="00164FB6" w:rsidRPr="005D3B1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tulun</w:t>
            </w:r>
            <w:r w:rsidR="00164FB6" w:rsidRPr="004C185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-</w:t>
            </w:r>
            <w:r w:rsidR="00164FB6" w:rsidRPr="005D3B1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mer</w:t>
            </w:r>
            <w:r w:rsidR="00164FB6" w:rsidRPr="004C185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@</w:t>
            </w:r>
            <w:r w:rsidR="00164FB6" w:rsidRPr="005D3B1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yandex</w:t>
            </w:r>
            <w:r w:rsidR="00164FB6" w:rsidRPr="004C185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.</w:t>
            </w:r>
            <w:proofErr w:type="spellStart"/>
            <w:r w:rsidR="00164FB6" w:rsidRPr="005D3B1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4C185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  <w:r w:rsidRPr="004C1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14:paraId="5AF708CD" w14:textId="77777777" w:rsidR="00BA4906" w:rsidRPr="00C3735A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tulun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irmail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2197F68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 02343005690 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03910010010</w:t>
            </w:r>
          </w:p>
          <w:p w14:paraId="373997F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3786C64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14:paraId="48706CF3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1C108F1B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424EB6B5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0C4048F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г.Иркутск        </w:t>
            </w:r>
          </w:p>
          <w:p w14:paraId="5AEFD4B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3DC13AF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местонахождения: </w:t>
            </w:r>
          </w:p>
          <w:p w14:paraId="3900DE11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540A10" w14:textId="77777777"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0130A7D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5862EDC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77C07267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CF1DA5F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533937" w14:textId="77777777"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74C6D07D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393FA1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514AAC79" w14:textId="77777777"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14:paraId="74161D39" w14:textId="77777777" w:rsidTr="00393EDA">
        <w:trPr>
          <w:trHeight w:val="720"/>
        </w:trPr>
        <w:tc>
          <w:tcPr>
            <w:tcW w:w="4578" w:type="dxa"/>
          </w:tcPr>
          <w:p w14:paraId="5959A71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Продавца</w:t>
            </w:r>
          </w:p>
          <w:p w14:paraId="5F6CEA0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5B47B0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78DA24C5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668" w:type="dxa"/>
          </w:tcPr>
          <w:p w14:paraId="63C180E4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117A9741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0945B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9C48B06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0F6C0ED1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14:paraId="3F812C30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5988F31F" w14:textId="77777777"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C340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66A08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E9170" w14:textId="77777777"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D78FD"/>
    <w:rsid w:val="00121B7C"/>
    <w:rsid w:val="001222F7"/>
    <w:rsid w:val="001563F8"/>
    <w:rsid w:val="00164FB6"/>
    <w:rsid w:val="001D3746"/>
    <w:rsid w:val="002028B5"/>
    <w:rsid w:val="0023636D"/>
    <w:rsid w:val="002618D1"/>
    <w:rsid w:val="002B60E4"/>
    <w:rsid w:val="00323BBB"/>
    <w:rsid w:val="0034381D"/>
    <w:rsid w:val="003530B1"/>
    <w:rsid w:val="00393EDA"/>
    <w:rsid w:val="004666C9"/>
    <w:rsid w:val="00486850"/>
    <w:rsid w:val="004A5B5F"/>
    <w:rsid w:val="004C185A"/>
    <w:rsid w:val="004D5A12"/>
    <w:rsid w:val="004E7855"/>
    <w:rsid w:val="00554C13"/>
    <w:rsid w:val="005A3B47"/>
    <w:rsid w:val="005B20BC"/>
    <w:rsid w:val="005C081A"/>
    <w:rsid w:val="005D3B1C"/>
    <w:rsid w:val="00623470"/>
    <w:rsid w:val="00685769"/>
    <w:rsid w:val="006B12E9"/>
    <w:rsid w:val="006C6AC8"/>
    <w:rsid w:val="006E66EF"/>
    <w:rsid w:val="006E7CD6"/>
    <w:rsid w:val="006F1B22"/>
    <w:rsid w:val="00701556"/>
    <w:rsid w:val="0070602B"/>
    <w:rsid w:val="00750162"/>
    <w:rsid w:val="00762BEA"/>
    <w:rsid w:val="007F5C1B"/>
    <w:rsid w:val="00881C12"/>
    <w:rsid w:val="008A1103"/>
    <w:rsid w:val="008C2A79"/>
    <w:rsid w:val="009016DB"/>
    <w:rsid w:val="009B040F"/>
    <w:rsid w:val="009B316B"/>
    <w:rsid w:val="00A26800"/>
    <w:rsid w:val="00A9422C"/>
    <w:rsid w:val="00AC3F8A"/>
    <w:rsid w:val="00AD75F4"/>
    <w:rsid w:val="00B80E50"/>
    <w:rsid w:val="00BA3AFC"/>
    <w:rsid w:val="00BA4906"/>
    <w:rsid w:val="00C3735A"/>
    <w:rsid w:val="00C41F79"/>
    <w:rsid w:val="00C74423"/>
    <w:rsid w:val="00CB33E2"/>
    <w:rsid w:val="00CD1F6D"/>
    <w:rsid w:val="00D1392A"/>
    <w:rsid w:val="00D35661"/>
    <w:rsid w:val="00D42565"/>
    <w:rsid w:val="00DE3DD6"/>
    <w:rsid w:val="00E52429"/>
    <w:rsid w:val="00E81D68"/>
    <w:rsid w:val="00E966EC"/>
    <w:rsid w:val="00F47272"/>
    <w:rsid w:val="00F6506C"/>
    <w:rsid w:val="00F81095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80D"/>
  <w15:docId w15:val="{F18EE9BF-5A79-4C83-9AEF-F74AFE1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2022-04-26T06:58:00Z</cp:lastPrinted>
  <dcterms:created xsi:type="dcterms:W3CDTF">2022-06-15T02:33:00Z</dcterms:created>
  <dcterms:modified xsi:type="dcterms:W3CDTF">2022-06-15T02:33:00Z</dcterms:modified>
</cp:coreProperties>
</file>