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EF1A3E" w:rsidRDefault="00EF1A3E" w:rsidP="000328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</w:p>
          <w:p w:rsidR="00096CF0" w:rsidRPr="00EF1A3E" w:rsidRDefault="00EF1A3E" w:rsidP="00032897">
            <w:pPr>
              <w:pStyle w:val="ac"/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EF1A3E">
              <w:rPr>
                <w:sz w:val="24"/>
                <w:szCs w:val="24"/>
              </w:rPr>
              <w:t>МУНИЦИПАЛЬНЫМ ИМУЩЕСТВОМ</w:t>
            </w:r>
          </w:p>
          <w:p w:rsidR="00096CF0" w:rsidRDefault="00096CF0" w:rsidP="006A1C53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096CF0" w:rsidRDefault="00096CF0" w:rsidP="006A1C53">
            <w:pPr>
              <w:pStyle w:val="ac"/>
              <w:jc w:val="center"/>
            </w:pPr>
            <w:r>
              <w:t xml:space="preserve">ул. Ленина, 122, 3 эт. офис 20, </w:t>
            </w:r>
          </w:p>
          <w:p w:rsidR="00096CF0" w:rsidRDefault="00096CF0" w:rsidP="006A1C53">
            <w:pPr>
              <w:pStyle w:val="ac"/>
              <w:jc w:val="center"/>
            </w:pPr>
            <w:r>
              <w:t>тел. 2-18-19</w:t>
            </w:r>
          </w:p>
          <w:p w:rsidR="00096CF0" w:rsidRDefault="00096CF0" w:rsidP="006A1C53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096CF0" w:rsidRDefault="00096CF0" w:rsidP="006A1C53">
            <w:pPr>
              <w:pStyle w:val="ac"/>
              <w:jc w:val="center"/>
            </w:pPr>
          </w:p>
          <w:p w:rsidR="00096CF0" w:rsidRPr="007065B7" w:rsidRDefault="00096CF0" w:rsidP="006A1C53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6A1C53">
            <w:pPr>
              <w:pStyle w:val="ac"/>
              <w:jc w:val="both"/>
              <w:rPr>
                <w:sz w:val="24"/>
                <w:szCs w:val="24"/>
              </w:rPr>
            </w:pPr>
          </w:p>
          <w:p w:rsidR="005E7CBE" w:rsidRDefault="005E7CBE" w:rsidP="006A1C5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Главному редактору газеты </w:t>
            </w:r>
          </w:p>
          <w:p w:rsidR="00096CF0" w:rsidRDefault="005E7CBE" w:rsidP="006A1C5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«Тулунский вестник»</w:t>
            </w:r>
          </w:p>
          <w:p w:rsidR="00096CF0" w:rsidRDefault="00096CF0" w:rsidP="006A1C53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6A1C53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4B649E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C63C21">
              <w:rPr>
                <w:sz w:val="24"/>
                <w:szCs w:val="24"/>
              </w:rPr>
              <w:t>08.06.2020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C63C21">
              <w:rPr>
                <w:sz w:val="24"/>
                <w:szCs w:val="24"/>
              </w:rPr>
              <w:t>19</w:t>
            </w:r>
            <w:r w:rsidR="004B649E">
              <w:rPr>
                <w:sz w:val="24"/>
                <w:szCs w:val="24"/>
              </w:rPr>
              <w:t>50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 xml:space="preserve">«О проведении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BE320C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BE320C">
              <w:t>400</w:t>
            </w:r>
            <w:r w:rsidR="003A6581">
              <w:t>,</w:t>
            </w:r>
            <w:r>
              <w:t>00 кв.м,</w:t>
            </w:r>
            <w:r>
              <w:rPr>
                <w:color w:val="000000"/>
              </w:rPr>
              <w:t xml:space="preserve"> </w:t>
            </w:r>
            <w:r w:rsidR="00BE320C">
              <w:t>кадастровый номер 38:30:011002:1641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BE320C">
              <w:t>Иркутская область,</w:t>
            </w:r>
            <w:r w:rsidR="00C63C21">
              <w:t xml:space="preserve"> </w:t>
            </w:r>
            <w:r>
              <w:t xml:space="preserve">г. Тулун, </w:t>
            </w:r>
            <w:r w:rsidR="00B475C9">
              <w:t>ул.</w:t>
            </w:r>
            <w:r w:rsidR="00BE320C">
              <w:t>Транспортная, 30</w:t>
            </w:r>
            <w:r>
              <w:t xml:space="preserve">, </w:t>
            </w:r>
            <w:r w:rsidR="00C5744D">
              <w:t>с разрешенным использованием предпринимательство</w:t>
            </w:r>
            <w: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C5744D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устанавлива</w:t>
            </w:r>
            <w:r w:rsidR="0084262A">
              <w:t>ются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рганизатор аукциона в течение трех дней обязан известить участников аукциона о своем отказе в проведении аукциона и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BE320C" w:rsidRDefault="00BE320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 возможность подключения к сетям холодного водоснабжения.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3A6581" w:rsidP="00BE320C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 w:rsidR="00BE320C">
              <w:t>61769,20</w:t>
            </w:r>
            <w:r w:rsidR="003D41FE">
              <w:rPr>
                <w:b/>
              </w:rPr>
              <w:t xml:space="preserve"> </w:t>
            </w:r>
            <w:r w:rsidR="00BE62AC">
              <w:t>руб. (</w:t>
            </w:r>
            <w:r w:rsidR="00BE320C">
              <w:t>шестьдесят одна тысяча семьсот шестьдесят девять</w:t>
            </w:r>
            <w:r w:rsidR="00392D69">
              <w:t xml:space="preserve"> руб. </w:t>
            </w:r>
            <w:r w:rsidR="00BE320C">
              <w:t>20</w:t>
            </w:r>
            <w:r w:rsidR="004B649E">
              <w:t xml:space="preserve"> </w:t>
            </w:r>
            <w:r w:rsidR="00392D69">
              <w:t>коп.</w:t>
            </w:r>
            <w:r w:rsidR="00BE62AC">
              <w:t>).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BE320C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BE320C">
              <w:rPr>
                <w:b/>
              </w:rPr>
              <w:t>1853,08</w:t>
            </w:r>
            <w:r>
              <w:t xml:space="preserve">  руб. (</w:t>
            </w:r>
            <w:r w:rsidR="00BE320C">
              <w:t xml:space="preserve">одна тысяча восемьсот пятьдесят три </w:t>
            </w:r>
            <w:r w:rsidR="004B649E">
              <w:t xml:space="preserve">руб. </w:t>
            </w:r>
            <w:r w:rsidR="00BE320C">
              <w:t xml:space="preserve">08 </w:t>
            </w:r>
            <w:r w:rsidR="004B649E">
              <w:t>коп.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lastRenderedPageBreak/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lastRenderedPageBreak/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 xml:space="preserve">невно с 08.00 час. до 17.00 </w:t>
            </w:r>
            <w:r>
              <w:lastRenderedPageBreak/>
              <w:t>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BE320C">
              <w:rPr>
                <w:b/>
                <w:color w:val="0000FF"/>
              </w:rPr>
              <w:t>10.08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BE320C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BE320C">
              <w:rPr>
                <w:b/>
                <w:color w:val="0000FF"/>
              </w:rPr>
              <w:t>10.09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302</w:t>
            </w:r>
            <w:r w:rsidRPr="00F47409">
              <w:t xml:space="preserve"> (3-й этаж)</w:t>
            </w:r>
          </w:p>
          <w:p w:rsidR="00BE62AC" w:rsidRPr="00F47409" w:rsidRDefault="00BE320C" w:rsidP="00BE320C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15.09.2</w:t>
            </w:r>
            <w:r w:rsidR="002A3E28">
              <w:rPr>
                <w:b/>
                <w:color w:val="0000FF"/>
              </w:rPr>
              <w:t>020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604157">
              <w:t>1</w:t>
            </w:r>
            <w:r w:rsidR="00CD6CF4">
              <w:t>0</w:t>
            </w:r>
            <w:r w:rsidR="00BE62AC" w:rsidRPr="00F47409">
              <w:t xml:space="preserve"> часов </w:t>
            </w:r>
            <w:r>
              <w:t>0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33803">
              <w:t>11</w:t>
            </w:r>
            <w:r w:rsidRPr="00F47409">
              <w:t xml:space="preserve"> (3-й этаж), </w:t>
            </w:r>
          </w:p>
          <w:p w:rsidR="00BE62AC" w:rsidRPr="00F47409" w:rsidRDefault="00BE320C" w:rsidP="00BE320C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18.09</w:t>
            </w:r>
            <w:r w:rsidR="002A3E28">
              <w:rPr>
                <w:b/>
                <w:color w:val="0000FF"/>
              </w:rPr>
              <w:t>.200</w:t>
            </w:r>
            <w:r w:rsidR="00BE62AC" w:rsidRPr="00F47409">
              <w:rPr>
                <w:b/>
                <w:color w:val="0000FF"/>
              </w:rPr>
              <w:t>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BE62AC">
              <w:t>1</w:t>
            </w:r>
            <w:r w:rsidR="00CD6CF4">
              <w:t>0</w:t>
            </w:r>
            <w:r w:rsidR="00BE62AC" w:rsidRPr="00F47409">
              <w:t xml:space="preserve"> часов </w:t>
            </w:r>
            <w:r>
              <w:t>0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 w:rsidR="004B649E">
              <w:rPr>
                <w:b/>
              </w:rPr>
              <w:t xml:space="preserve"> </w:t>
            </w:r>
            <w:r w:rsidR="00BE320C">
              <w:rPr>
                <w:b/>
              </w:rPr>
              <w:t xml:space="preserve">12353,84 руб. </w:t>
            </w:r>
            <w:r w:rsidRPr="00EB6B4C">
              <w:rPr>
                <w:b/>
              </w:rPr>
              <w:t xml:space="preserve"> (</w:t>
            </w:r>
            <w:r w:rsidR="00BE320C">
              <w:rPr>
                <w:b/>
              </w:rPr>
              <w:t>двенадцать тысяч триста пятьдесят три руб. 84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4B649E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>ИНН 3816001999 КПП 381601001, р/сч.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Претендент не допускается к участию в аукционе если</w:t>
            </w:r>
            <w:r>
              <w:t xml:space="preserve"> на </w:t>
            </w:r>
            <w:r w:rsidR="00BE320C">
              <w:rPr>
                <w:b/>
                <w:color w:val="0000FF"/>
              </w:rPr>
              <w:t>15.09.2020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можно по адресу: г. Тулун, Иркутская область, ул.  Ленина, 122, каб. № 3</w:t>
      </w:r>
      <w:r w:rsidR="002A3E28">
        <w:t>11</w:t>
      </w:r>
      <w:r>
        <w:t xml:space="preserve"> (3 этаж), в </w:t>
      </w:r>
      <w:r>
        <w:lastRenderedPageBreak/>
        <w:t xml:space="preserve">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>администрации городского округа Мироновой М.В., действующего на основании распоряжения администрации городского округа № 24 – к  от 09.01.2020 года и  доверенности  № 91 от 18.09.2019 года, удостоверенной мэром городского округа Карих Ю.В., выданной от имени муниципального учреждения «Администрация городского округа муниципального образования – «город Тулун»</w:t>
      </w:r>
      <w:r w:rsidR="00E80D91">
        <w:rPr>
          <w:sz w:val="24"/>
          <w:szCs w:val="24"/>
        </w:rPr>
        <w:t>,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lastRenderedPageBreak/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lastRenderedPageBreak/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lastRenderedPageBreak/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r w:rsidRPr="009648C2">
        <w:t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Мироновой М.В., действующего на основании распоряжения администрации городского округа № 24 – к  от 09.01.2020 года и  доверенности  № 91 от 18.09.2019 года, удостоверенной мэром городского округа Карих Ю.В., выданной от имени муниципального учреждения «Администрация городского округа муниципального образования – «город Тулун»</w:t>
      </w:r>
      <w:r>
        <w:t xml:space="preserve">, </w:t>
      </w:r>
      <w:r w:rsidR="00AA43F5" w:rsidRPr="00B548C2">
        <w:t>именуемый (ая)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М.В.Миронова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803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877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97A22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20C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2565D-AAE3-4844-B9DC-D9A53E541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4426</Words>
  <Characters>25233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2020-06-18T00:51:00Z</cp:lastPrinted>
  <dcterms:created xsi:type="dcterms:W3CDTF">2020-08-06T05:00:00Z</dcterms:created>
  <dcterms:modified xsi:type="dcterms:W3CDTF">2020-08-06T05:00:00Z</dcterms:modified>
</cp:coreProperties>
</file>